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5FF1" w14:textId="77777777" w:rsidR="007B0B99" w:rsidRDefault="00201BB6">
      <w:pPr>
        <w:pStyle w:val="Titel"/>
      </w:pPr>
      <w:r>
        <w:t>Implementation Report</w:t>
      </w:r>
    </w:p>
    <w:p w14:paraId="5869640F" w14:textId="3B541B55" w:rsidR="007B0B99" w:rsidRDefault="00201BB6">
      <w:r>
        <w:t xml:space="preserve">Project: Oatganic </w:t>
      </w:r>
      <w:r w:rsidRPr="00201BB6">
        <w:t>D2.2</w:t>
      </w:r>
    </w:p>
    <w:p w14:paraId="0482326C" w14:textId="11D50033" w:rsidR="00201BB6" w:rsidRDefault="00201BB6" w:rsidP="00201BB6">
      <w:pPr>
        <w:rPr>
          <w:color w:val="000000"/>
        </w:rPr>
      </w:pPr>
      <w:r w:rsidRPr="00201BB6">
        <w:t>D2.2</w:t>
      </w:r>
      <w:r>
        <w:t xml:space="preserve">. </w:t>
      </w:r>
      <w:r>
        <w:rPr>
          <w:color w:val="000000"/>
        </w:rPr>
        <w:t>Easy-to-use DNA markers for high-throughput and effective screening of breeding lines for CCN resistance</w:t>
      </w:r>
    </w:p>
    <w:p w14:paraId="5E30868A" w14:textId="3A58D208" w:rsidR="007B0B99" w:rsidRPr="00201BB6" w:rsidRDefault="00201BB6" w:rsidP="00201BB6">
      <w:pPr>
        <w:jc w:val="center"/>
        <w:rPr>
          <w:b/>
          <w:bCs/>
          <w:sz w:val="28"/>
          <w:szCs w:val="28"/>
        </w:rPr>
      </w:pPr>
      <w:r w:rsidRPr="00201BB6">
        <w:rPr>
          <w:b/>
          <w:bCs/>
          <w:sz w:val="28"/>
          <w:szCs w:val="28"/>
        </w:rPr>
        <w:t>FV4- Implementation of a Marker for Nematode Resistance in Oats</w:t>
      </w:r>
    </w:p>
    <w:p w14:paraId="06A64CFB" w14:textId="77777777" w:rsidR="007B0B99" w:rsidRDefault="00201BB6">
      <w:r>
        <w:t>Organization: Nordic Seed</w:t>
      </w:r>
    </w:p>
    <w:p w14:paraId="2465BED0" w14:textId="77777777" w:rsidR="007B0B99" w:rsidRDefault="00201BB6">
      <w:r>
        <w:br w:type="page"/>
      </w:r>
    </w:p>
    <w:p w14:paraId="6E55FFB6" w14:textId="742727F5" w:rsidR="007B0B99" w:rsidRDefault="00201BB6">
      <w:pPr>
        <w:pStyle w:val="Overskrift1"/>
      </w:pPr>
      <w:r>
        <w:lastRenderedPageBreak/>
        <w:t>Summary</w:t>
      </w:r>
    </w:p>
    <w:p w14:paraId="4FBF04F3" w14:textId="6262365D" w:rsidR="007B0B99" w:rsidRDefault="00C20A73">
      <w:pPr>
        <w:pStyle w:val="Overskrift1"/>
      </w:pPr>
      <w:r w:rsidRPr="00C20A7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This report </w:t>
      </w:r>
      <w:r w:rsidR="00201BB6" w:rsidRPr="00C20A7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summarizes</w:t>
      </w:r>
      <w:r w:rsidRPr="00C20A7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the implementation of an easy-to-use DNA marker for nematode resistance in oats within the Oatganic Fv4 project. The project involved identifying a significant genetic marker, converting it into a competitive allele-specific PCR (KASP) tool and integrating it into Nordic Seed's breeding </w:t>
      </w:r>
      <w:r w:rsidR="00201BB6" w:rsidRPr="00C20A7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program</w:t>
      </w:r>
      <w:r w:rsidRPr="00C20A7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. This tool improves efficiency, cuts costs and speeds up the development of nematode-resistant oat varieties.</w:t>
      </w:r>
      <w:r w:rsidR="00201BB6">
        <w:t>1. Background</w:t>
      </w:r>
    </w:p>
    <w:p w14:paraId="61D0AD21" w14:textId="77777777" w:rsidR="00C20A73" w:rsidRDefault="00C20A73">
      <w:pPr>
        <w:pStyle w:val="Overskrift1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C20A7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Nematode resistance is a key trait for sustainable oat breeding. The Oatganic project aimed to identify a DNA marker linked to resistance against cereal cyst nematodes, and to implement it as a practical selection tool for breeders.</w:t>
      </w:r>
    </w:p>
    <w:p w14:paraId="6E1684E0" w14:textId="515916E8" w:rsidR="007B0B99" w:rsidRDefault="00201BB6">
      <w:pPr>
        <w:pStyle w:val="Overskrift1"/>
      </w:pPr>
      <w:r>
        <w:t>2. Objectives</w:t>
      </w:r>
    </w:p>
    <w:p w14:paraId="7C5BE06A" w14:textId="77777777" w:rsidR="00C20A73" w:rsidRPr="00C20A73" w:rsidRDefault="00C20A73" w:rsidP="00C20A73">
      <w:pPr>
        <w:pStyle w:val="Ingenafstand"/>
      </w:pPr>
      <w:r w:rsidRPr="00C20A73">
        <w:t>Identify a DNA marker associated with nematode resistance.</w:t>
      </w:r>
    </w:p>
    <w:p w14:paraId="6BBD4315" w14:textId="77777777" w:rsidR="00C20A73" w:rsidRPr="00C20A73" w:rsidRDefault="00C20A73" w:rsidP="00C20A73">
      <w:pPr>
        <w:pStyle w:val="Ingenafstand"/>
      </w:pPr>
      <w:r w:rsidRPr="00C20A73">
        <w:t>Convert the marker into a user-friendly KASP assay.</w:t>
      </w:r>
    </w:p>
    <w:p w14:paraId="61802A0A" w14:textId="7D7B9F92" w:rsidR="00C20A73" w:rsidRDefault="00C20A73" w:rsidP="00C20A73">
      <w:pPr>
        <w:pStyle w:val="Ingenafstand"/>
        <w:rPr>
          <w:b/>
          <w:bCs/>
        </w:rPr>
      </w:pPr>
      <w:r w:rsidRPr="00C20A73">
        <w:t xml:space="preserve">Implement the marker in Nordic Seed's breeding </w:t>
      </w:r>
      <w:r w:rsidR="00201BB6" w:rsidRPr="00C20A73">
        <w:t>program</w:t>
      </w:r>
      <w:r w:rsidRPr="00C20A73">
        <w:t>.</w:t>
      </w:r>
    </w:p>
    <w:p w14:paraId="6BEF7BF7" w14:textId="22D85D4D" w:rsidR="007B0B99" w:rsidRDefault="00201BB6" w:rsidP="00C20A73">
      <w:pPr>
        <w:pStyle w:val="Overskrift1"/>
      </w:pPr>
      <w:r>
        <w:t>3. Methodology</w:t>
      </w:r>
    </w:p>
    <w:p w14:paraId="0E142F48" w14:textId="77777777" w:rsidR="00C20A73" w:rsidRDefault="00C20A73">
      <w:r w:rsidRPr="00C20A73">
        <w:t xml:space="preserve">Each year, 100 oat breeding lines were </w:t>
      </w:r>
      <w:proofErr w:type="spellStart"/>
      <w:r w:rsidRPr="00C20A73">
        <w:t>phenotyped</w:t>
      </w:r>
      <w:proofErr w:type="spellEnd"/>
      <w:r w:rsidRPr="00C20A73">
        <w:t xml:space="preserve"> at </w:t>
      </w:r>
      <w:proofErr w:type="spellStart"/>
      <w:r w:rsidRPr="00C20A73">
        <w:t>Tystofte</w:t>
      </w:r>
      <w:proofErr w:type="spellEnd"/>
      <w:r w:rsidRPr="00C20A73">
        <w:t xml:space="preserve"> using a nematode resistance protocol. At the same time, the lines were genotyped using the Illumina 7K Oat SNP array to enable genome-wide association studies (GWAS). Significant SNPs were identified and the strongest marker was converted into a KASP assay.</w:t>
      </w:r>
    </w:p>
    <w:p w14:paraId="366B7D33" w14:textId="537A18BF" w:rsidR="007B0B99" w:rsidRDefault="00201BB6">
      <w:r>
        <w:t>See workflow diagram below:</w:t>
      </w:r>
    </w:p>
    <w:p w14:paraId="54AED682" w14:textId="0370E182" w:rsidR="007B0B99" w:rsidRDefault="00C20A73">
      <w:r>
        <w:rPr>
          <w:noProof/>
        </w:rPr>
        <w:drawing>
          <wp:inline distT="0" distB="0" distL="0" distR="0" wp14:anchorId="2D8D72D7" wp14:editId="31A43423">
            <wp:extent cx="4892040" cy="561975"/>
            <wp:effectExtent l="0" t="0" r="3810" b="0"/>
            <wp:docPr id="156435720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72" b="42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488" cy="56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80FEB" w14:textId="77777777" w:rsidR="007B0B99" w:rsidRDefault="00201BB6">
      <w:pPr>
        <w:pStyle w:val="Overskrift1"/>
      </w:pPr>
      <w:r>
        <w:t>4. Results</w:t>
      </w:r>
    </w:p>
    <w:p w14:paraId="4CDE75EB" w14:textId="77777777" w:rsidR="00201BB6" w:rsidRDefault="00201BB6">
      <w:r w:rsidRPr="00201BB6">
        <w:t>GWAS revealed a significant association between resistance and SNP markers (Figure 1). The top marker was converted into a KASP assay and validated using 192 samples (see Figure 2). Allele X corresponded to resistance and Allele Y to susceptibility; heterozygotes were also distinguishable.</w:t>
      </w:r>
    </w:p>
    <w:p w14:paraId="56C0B2D0" w14:textId="0F652780" w:rsidR="007B0B99" w:rsidRDefault="00201BB6">
      <w:r w:rsidRPr="00650B0D">
        <w:rPr>
          <w:noProof/>
        </w:rPr>
        <w:lastRenderedPageBreak/>
        <w:drawing>
          <wp:inline distT="0" distB="0" distL="0" distR="0" wp14:anchorId="6B3DC38E" wp14:editId="229E3197">
            <wp:extent cx="5486400" cy="2164845"/>
            <wp:effectExtent l="0" t="0" r="0" b="6985"/>
            <wp:docPr id="9" name="Billede 7">
              <a:extLst xmlns:a="http://schemas.openxmlformats.org/drawingml/2006/main">
                <a:ext uri="{FF2B5EF4-FFF2-40B4-BE49-F238E27FC236}">
                  <a16:creationId xmlns:a16="http://schemas.microsoft.com/office/drawing/2014/main" id="{DF7531DC-F79C-F6FB-88DA-A8989527FC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7">
                      <a:extLst>
                        <a:ext uri="{FF2B5EF4-FFF2-40B4-BE49-F238E27FC236}">
                          <a16:creationId xmlns:a16="http://schemas.microsoft.com/office/drawing/2014/main" id="{DF7531DC-F79C-F6FB-88DA-A8989527FC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05" b="7952"/>
                    <a:stretch/>
                  </pic:blipFill>
                  <pic:spPr bwMode="auto">
                    <a:xfrm>
                      <a:off x="0" y="0"/>
                      <a:ext cx="5486400" cy="21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Figure 1: Manhattan plot showing SNP associations with nematode resistance.</w:t>
      </w:r>
    </w:p>
    <w:p w14:paraId="47D2CB22" w14:textId="77777777" w:rsidR="001B21A0" w:rsidRDefault="001B21A0"/>
    <w:p w14:paraId="3998BA7E" w14:textId="5ADC1307" w:rsidR="007B0B99" w:rsidRDefault="00803BE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0B460" wp14:editId="2FECEF7B">
                <wp:simplePos x="0" y="0"/>
                <wp:positionH relativeFrom="column">
                  <wp:posOffset>1318577</wp:posOffset>
                </wp:positionH>
                <wp:positionV relativeFrom="paragraph">
                  <wp:posOffset>423863</wp:posOffset>
                </wp:positionV>
                <wp:extent cx="361950" cy="66676"/>
                <wp:effectExtent l="0" t="0" r="19050" b="28575"/>
                <wp:wrapNone/>
                <wp:docPr id="1346628663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666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88FA5" id="Rektangel 1" o:spid="_x0000_s1026" style="position:absolute;margin-left:103.8pt;margin-top:33.4pt;width:28.5pt;height:5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" fillcolor="white [3212]" strokecolor="white [3212]"/>
            </w:pict>
          </mc:Fallback>
        </mc:AlternateContent>
      </w:r>
      <w:r w:rsidR="006E7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97889" wp14:editId="614D6F5E">
                <wp:simplePos x="0" y="0"/>
                <wp:positionH relativeFrom="column">
                  <wp:posOffset>1604962</wp:posOffset>
                </wp:positionH>
                <wp:positionV relativeFrom="paragraph">
                  <wp:posOffset>276225</wp:posOffset>
                </wp:positionV>
                <wp:extent cx="361950" cy="66676"/>
                <wp:effectExtent l="0" t="0" r="19050" b="28575"/>
                <wp:wrapNone/>
                <wp:docPr id="120764817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666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81D33" id="Rektangel 1" o:spid="_x0000_s1026" style="position:absolute;margin-left:126.35pt;margin-top:21.75pt;width:28.5pt;height: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" fillcolor="white [3212]" strokecolor="white [3212]"/>
            </w:pict>
          </mc:Fallback>
        </mc:AlternateContent>
      </w:r>
      <w:r w:rsidR="00201BB6">
        <w:rPr>
          <w:noProof/>
        </w:rPr>
        <w:drawing>
          <wp:inline distT="0" distB="0" distL="0" distR="0" wp14:anchorId="03AFE423" wp14:editId="4F2A1896">
            <wp:extent cx="5486400" cy="4395038"/>
            <wp:effectExtent l="0" t="0" r="0" b="5715"/>
            <wp:docPr id="670930352" name="Billede 1" descr="Et billede, der indeholder tekst, skærmbillede, software, Multimediesoftwar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30352" name="Billede 1" descr="Et billede, der indeholder tekst, skærmbillede, software, Multimediesoftware&#10;&#10;AI-genereret indhold kan være ukorrek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992" b="9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95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1BB6">
        <w:t>Figure 2: KASP assay scatter plot of resistant, susceptible, and heterozygous lines.</w:t>
      </w:r>
    </w:p>
    <w:p w14:paraId="333740F3" w14:textId="77777777" w:rsidR="007B0B99" w:rsidRDefault="00201BB6">
      <w:pPr>
        <w:pStyle w:val="Overskrift1"/>
      </w:pPr>
      <w:r>
        <w:lastRenderedPageBreak/>
        <w:t>5. Implementation</w:t>
      </w:r>
    </w:p>
    <w:p w14:paraId="3210E02F" w14:textId="77777777" w:rsidR="00201BB6" w:rsidRDefault="00201BB6">
      <w:pPr>
        <w:pStyle w:val="Overskrift1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201BB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Nordic Seed has successfully integrated the KASP marker into its breeding pipelines. This enables the faster and more reliable selection of nematode-resistant oat lines, reducing reliance on the time-consuming process of phenotyping.</w:t>
      </w:r>
    </w:p>
    <w:p w14:paraId="0D347EA0" w14:textId="5C4DDC7F" w:rsidR="007B0B99" w:rsidRDefault="00201BB6">
      <w:pPr>
        <w:pStyle w:val="Overskrift1"/>
      </w:pPr>
      <w:r>
        <w:t>6. Discussion</w:t>
      </w:r>
    </w:p>
    <w:p w14:paraId="15F29C00" w14:textId="5D1C31DA" w:rsidR="00987024" w:rsidRDefault="00987024" w:rsidP="00987024">
      <w:r>
        <w:t>When breeding for a trait, one of the important questions we must answer is what the nature of the trait is. In plant breeding, this involves selecting a genotype with the desired trait. A trait can be quantitative, which is controlled by many genes and shows a continuous distribution, or qualitative, which is typically controlled by one or a few genes and shows discrete classes. For instance, quantitative resistance to pathogens is usually polygenic, whereas major-gene resistance tends to segregate into distinct categories (Pilet-Nayel et al., 2017; Young, 1996).</w:t>
      </w:r>
      <w:r w:rsidR="00C84E37">
        <w:t xml:space="preserve"> </w:t>
      </w:r>
      <w:r>
        <w:t xml:space="preserve">The phenotypic data received from </w:t>
      </w:r>
      <w:proofErr w:type="spellStart"/>
      <w:r>
        <w:t>Tystofte</w:t>
      </w:r>
      <w:proofErr w:type="spellEnd"/>
      <w:r>
        <w:t xml:space="preserve"> showed a quantitative pattern, with lines that were either resistant or susceptible. The GWAS analysis largely reflected this, as we observed one major association confirming the presence of a major quantitative trait locus (QTL). This type of trait architecture can speed up and simplify the selection process, since we can use one or a few markers to incorporate the QTL into a new genetic background (Merrick et al., 2021).</w:t>
      </w:r>
    </w:p>
    <w:p w14:paraId="6CED0F65" w14:textId="77777777" w:rsidR="00987024" w:rsidRDefault="00987024" w:rsidP="00987024">
      <w:r>
        <w:t>While the marker-based approach greatly improves breeding efficiency, phenotyping remains essential, particularly prior to the registration of new cultivars (St Clair, 2010). Future work could focus on obtaining higher-resolution marker coverage of the nematode QTL fragment to identify functional markers (or causal variants) that will further enhance selection precision.</w:t>
      </w:r>
    </w:p>
    <w:p w14:paraId="0AA6A984" w14:textId="77777777" w:rsidR="007B0B99" w:rsidRDefault="00201BB6">
      <w:pPr>
        <w:pStyle w:val="Overskrift1"/>
      </w:pPr>
      <w:r>
        <w:t>7. Conclusion</w:t>
      </w:r>
    </w:p>
    <w:p w14:paraId="36C1F02A" w14:textId="0520CBDD" w:rsidR="007B0B99" w:rsidRDefault="00201BB6">
      <w:r>
        <w:t xml:space="preserve">The Oatganic project </w:t>
      </w:r>
      <w:proofErr w:type="spellStart"/>
      <w:r w:rsidRPr="00201BB6">
        <w:t>project</w:t>
      </w:r>
      <w:proofErr w:type="spellEnd"/>
      <w:r w:rsidRPr="00201BB6">
        <w:t xml:space="preserve"> successfully developed and implemented a KASP marker for nematode resistance in oats. This achievement supports sustainable agriculture and strengthens Nordic Seed’s breeding efficiency.</w:t>
      </w:r>
    </w:p>
    <w:p w14:paraId="49275279" w14:textId="77777777" w:rsidR="007B0B99" w:rsidRDefault="00201BB6">
      <w:pPr>
        <w:pStyle w:val="Overskrift1"/>
      </w:pPr>
      <w:r>
        <w:t>References</w:t>
      </w:r>
    </w:p>
    <w:p w14:paraId="5C19A3B7" w14:textId="40784788" w:rsidR="007763D0" w:rsidRPr="00F13F13" w:rsidRDefault="007763D0" w:rsidP="00F13F13">
      <w:pPr>
        <w:pStyle w:val="Listeafsnit"/>
        <w:numPr>
          <w:ilvl w:val="0"/>
          <w:numId w:val="10"/>
        </w:numPr>
        <w:rPr>
          <w:lang w:val="de-DE"/>
        </w:rPr>
      </w:pPr>
      <w:r>
        <w:t xml:space="preserve">KASP assay guidelines. </w:t>
      </w:r>
      <w:r w:rsidRPr="00F13F13">
        <w:rPr>
          <w:lang w:val="de-DE"/>
        </w:rPr>
        <w:t xml:space="preserve">Roche LC480 </w:t>
      </w:r>
      <w:proofErr w:type="spellStart"/>
      <w:r w:rsidRPr="00F13F13">
        <w:rPr>
          <w:lang w:val="de-DE"/>
        </w:rPr>
        <w:t>documentation</w:t>
      </w:r>
      <w:proofErr w:type="spellEnd"/>
      <w:r w:rsidRPr="00F13F13">
        <w:rPr>
          <w:lang w:val="de-DE"/>
        </w:rPr>
        <w:t>:</w:t>
      </w:r>
      <w:r w:rsidR="00F13F13" w:rsidRPr="00F13F13">
        <w:rPr>
          <w:lang w:val="de-DE"/>
        </w:rPr>
        <w:t xml:space="preserve"> </w:t>
      </w:r>
      <w:hyperlink r:id="rId14" w:history="1">
        <w:r w:rsidR="00F13F13" w:rsidRPr="00F13F13">
          <w:rPr>
            <w:rStyle w:val="Hyperlink"/>
            <w:lang w:val="de-DE"/>
          </w:rPr>
          <w:t>https://biosearchassets.biosearchtech.com/assetsv6/running-KASP-on-Roche-LC480.pdf?_gl=1*1w65a4a*_gcl_au*OTAyMzg1NjcuMTc1Njk4ODQ1OQ..*_up*MQ..*_gs*MQ..*_ga*MjA2MzI0NzA5MS4xNzU2OTg4NDU5*_ga_QLQ6ZQ021Q*czE3NTk0ODIyMTUkbzIkZzEkdDE3NTk0ODI0MTkkajIwJGwwJGgw&amp;gclid=CjwKCAjw6P3GBhBVEiwAJPjmLvV4zoHimP16sF-NuPzZn9ftbxkdawbcPog8o5t7s7yg2i7kXaja2xoCsN4QAvD_BwE</w:t>
        </w:r>
      </w:hyperlink>
    </w:p>
    <w:p w14:paraId="3637CA42" w14:textId="66F18F77" w:rsidR="00402FBA" w:rsidRDefault="00402FBA" w:rsidP="00F13F13">
      <w:pPr>
        <w:pStyle w:val="Listeafsnit"/>
        <w:numPr>
          <w:ilvl w:val="0"/>
          <w:numId w:val="10"/>
        </w:numPr>
      </w:pPr>
      <w:r w:rsidRPr="00402FBA">
        <w:lastRenderedPageBreak/>
        <w:t xml:space="preserve">Merrick, L. F., Burke, A. B., Chen, X., &amp; Carter, A. H. (2021). Breeding with major and minor genes: Genomic selection for quantitative disease resistance. </w:t>
      </w:r>
      <w:r w:rsidRPr="00F13F13">
        <w:rPr>
          <w:i/>
          <w:iCs/>
        </w:rPr>
        <w:t>Frontiers in Plant Science</w:t>
      </w:r>
      <w:r w:rsidRPr="00402FBA">
        <w:t xml:space="preserve">, 12:713667. </w:t>
      </w:r>
      <w:hyperlink r:id="rId15" w:history="1">
        <w:r w:rsidRPr="00B77A7D">
          <w:rPr>
            <w:rStyle w:val="Hyperlink"/>
          </w:rPr>
          <w:t>https://doi.org/10.3389/fpls.2021.713667</w:t>
        </w:r>
      </w:hyperlink>
    </w:p>
    <w:p w14:paraId="3CCC41F0" w14:textId="0FC0B75E" w:rsidR="007763D0" w:rsidRDefault="007763D0" w:rsidP="00F13F13">
      <w:pPr>
        <w:pStyle w:val="Listeafsnit"/>
        <w:numPr>
          <w:ilvl w:val="0"/>
          <w:numId w:val="10"/>
        </w:numPr>
      </w:pPr>
      <w:proofErr w:type="spellStart"/>
      <w:r w:rsidRPr="00402FBA">
        <w:t>St.Clair</w:t>
      </w:r>
      <w:proofErr w:type="spellEnd"/>
      <w:r w:rsidRPr="00402FBA">
        <w:t xml:space="preserve">, D. A. (2010). Quantitative disease resistance and quantitative resistance loci in breeding. </w:t>
      </w:r>
      <w:r w:rsidRPr="00F13F13">
        <w:rPr>
          <w:i/>
          <w:iCs/>
        </w:rPr>
        <w:t>Annual Review of Phytopathology</w:t>
      </w:r>
      <w:r w:rsidRPr="00402FBA">
        <w:t xml:space="preserve">, 48:247-268. </w:t>
      </w:r>
      <w:hyperlink r:id="rId16" w:history="1">
        <w:r w:rsidRPr="00B77A7D">
          <w:rPr>
            <w:rStyle w:val="Hyperlink"/>
          </w:rPr>
          <w:t>https://doi.org/10.1146/annurev-phyto-080508-081904</w:t>
        </w:r>
      </w:hyperlink>
    </w:p>
    <w:p w14:paraId="0493D649" w14:textId="0CDE0757" w:rsidR="007B0B99" w:rsidRDefault="00402FBA" w:rsidP="00F13F13">
      <w:pPr>
        <w:pStyle w:val="Listeafsnit"/>
        <w:numPr>
          <w:ilvl w:val="0"/>
          <w:numId w:val="10"/>
        </w:numPr>
      </w:pPr>
      <w:r w:rsidRPr="00402FBA">
        <w:t xml:space="preserve">Pilet-Nayel, M.-L., Moury, B., </w:t>
      </w:r>
      <w:proofErr w:type="spellStart"/>
      <w:r w:rsidRPr="00402FBA">
        <w:t>Caffier</w:t>
      </w:r>
      <w:proofErr w:type="spellEnd"/>
      <w:r w:rsidRPr="00402FBA">
        <w:t xml:space="preserve">, V., Montarry, J., Kerlan, M.-C., Fournet, S., Durel, C.-E. &amp; </w:t>
      </w:r>
      <w:proofErr w:type="spellStart"/>
      <w:r w:rsidRPr="00402FBA">
        <w:t>Delourme</w:t>
      </w:r>
      <w:proofErr w:type="spellEnd"/>
      <w:r w:rsidRPr="00402FBA">
        <w:t xml:space="preserve">, R. (2017). Quantitative Resistance to Plant Pathogens in Pyramiding Strategies for Durable Crop Protection. </w:t>
      </w:r>
      <w:r w:rsidRPr="00F13F13">
        <w:rPr>
          <w:i/>
          <w:iCs/>
        </w:rPr>
        <w:t>Frontiers in Plant Science</w:t>
      </w:r>
      <w:r w:rsidRPr="00402FBA">
        <w:t>, 8:1838. https://doi.org/10.3389/fpls.2017.01838</w:t>
      </w:r>
      <w:r w:rsidRPr="00402FBA">
        <w:br/>
      </w:r>
      <w:proofErr w:type="spellStart"/>
      <w:r w:rsidR="00201BB6">
        <w:t>Tystofte</w:t>
      </w:r>
      <w:proofErr w:type="spellEnd"/>
      <w:r w:rsidR="00201BB6">
        <w:t xml:space="preserve"> Foundation. Protocol for nematode resistance screening. </w:t>
      </w:r>
      <w:hyperlink r:id="rId17" w:history="1">
        <w:r w:rsidR="00201BB6" w:rsidRPr="00872243">
          <w:rPr>
            <w:rStyle w:val="Hyperlink"/>
          </w:rPr>
          <w:t>https://www.tystofte.dk/wp-content/uploads/2020/02/Protocol-for-nematode-resistance-screening-1.pdf</w:t>
        </w:r>
      </w:hyperlink>
      <w:r w:rsidR="00201BB6">
        <w:t xml:space="preserve"> </w:t>
      </w:r>
    </w:p>
    <w:p w14:paraId="11CEEB4F" w14:textId="0462FD04" w:rsidR="00402FBA" w:rsidRDefault="00402FBA" w:rsidP="00F13F13">
      <w:pPr>
        <w:pStyle w:val="Listeafsnit"/>
        <w:numPr>
          <w:ilvl w:val="0"/>
          <w:numId w:val="10"/>
        </w:numPr>
      </w:pPr>
      <w:r w:rsidRPr="0098386C">
        <w:t xml:space="preserve">Young, N. D. (1996). QTL mapping and quantitative disease resistance in plants. </w:t>
      </w:r>
      <w:r w:rsidRPr="00F13F13">
        <w:rPr>
          <w:i/>
          <w:iCs/>
        </w:rPr>
        <w:t>Annual Review of Phytopathology</w:t>
      </w:r>
      <w:r w:rsidRPr="0098386C">
        <w:t xml:space="preserve">, 34:479-501. </w:t>
      </w:r>
      <w:hyperlink r:id="rId18" w:history="1">
        <w:r w:rsidR="00B53E32" w:rsidRPr="00B77A7D">
          <w:rPr>
            <w:rStyle w:val="Hyperlink"/>
          </w:rPr>
          <w:t>https://doi.org/10.1146/annurev.phyto.34.1.479</w:t>
        </w:r>
      </w:hyperlink>
      <w:r w:rsidR="00B53E32">
        <w:t xml:space="preserve"> </w:t>
      </w:r>
      <w:r w:rsidRPr="0098386C">
        <w:br/>
      </w:r>
      <w:r w:rsidRPr="00402FBA">
        <w:br/>
      </w:r>
    </w:p>
    <w:sectPr w:rsidR="00402F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FF1D1" w14:textId="77777777" w:rsidR="002B609C" w:rsidRDefault="002B609C" w:rsidP="006E7585">
      <w:pPr>
        <w:spacing w:after="0" w:line="240" w:lineRule="auto"/>
      </w:pPr>
      <w:r>
        <w:separator/>
      </w:r>
    </w:p>
  </w:endnote>
  <w:endnote w:type="continuationSeparator" w:id="0">
    <w:p w14:paraId="406B1B80" w14:textId="77777777" w:rsidR="002B609C" w:rsidRDefault="002B609C" w:rsidP="006E7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57ABF" w14:textId="77777777" w:rsidR="002B609C" w:rsidRDefault="002B609C" w:rsidP="006E7585">
      <w:pPr>
        <w:spacing w:after="0" w:line="240" w:lineRule="auto"/>
      </w:pPr>
      <w:r>
        <w:separator/>
      </w:r>
    </w:p>
  </w:footnote>
  <w:footnote w:type="continuationSeparator" w:id="0">
    <w:p w14:paraId="23E1F5FE" w14:textId="77777777" w:rsidR="002B609C" w:rsidRDefault="002B609C" w:rsidP="006E7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7552C67"/>
    <w:multiLevelType w:val="hybridMultilevel"/>
    <w:tmpl w:val="652E1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21048">
    <w:abstractNumId w:val="8"/>
  </w:num>
  <w:num w:numId="2" w16cid:durableId="930817960">
    <w:abstractNumId w:val="6"/>
  </w:num>
  <w:num w:numId="3" w16cid:durableId="1428844717">
    <w:abstractNumId w:val="5"/>
  </w:num>
  <w:num w:numId="4" w16cid:durableId="1303001210">
    <w:abstractNumId w:val="4"/>
  </w:num>
  <w:num w:numId="5" w16cid:durableId="168640289">
    <w:abstractNumId w:val="7"/>
  </w:num>
  <w:num w:numId="6" w16cid:durableId="383480786">
    <w:abstractNumId w:val="3"/>
  </w:num>
  <w:num w:numId="7" w16cid:durableId="2135755821">
    <w:abstractNumId w:val="2"/>
  </w:num>
  <w:num w:numId="8" w16cid:durableId="1902137690">
    <w:abstractNumId w:val="1"/>
  </w:num>
  <w:num w:numId="9" w16cid:durableId="1058279570">
    <w:abstractNumId w:val="0"/>
  </w:num>
  <w:num w:numId="10" w16cid:durableId="3109869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6249"/>
    <w:rsid w:val="001B21A0"/>
    <w:rsid w:val="00201BB6"/>
    <w:rsid w:val="0029639D"/>
    <w:rsid w:val="002B609C"/>
    <w:rsid w:val="00326F90"/>
    <w:rsid w:val="00402FBA"/>
    <w:rsid w:val="00405A66"/>
    <w:rsid w:val="004159BB"/>
    <w:rsid w:val="00416FC2"/>
    <w:rsid w:val="004423AC"/>
    <w:rsid w:val="004B40B1"/>
    <w:rsid w:val="0058668F"/>
    <w:rsid w:val="006234BF"/>
    <w:rsid w:val="006263A6"/>
    <w:rsid w:val="00627513"/>
    <w:rsid w:val="00682D37"/>
    <w:rsid w:val="006E7585"/>
    <w:rsid w:val="007763D0"/>
    <w:rsid w:val="007A2DB4"/>
    <w:rsid w:val="007B0B99"/>
    <w:rsid w:val="00803BE8"/>
    <w:rsid w:val="008557E0"/>
    <w:rsid w:val="0086386A"/>
    <w:rsid w:val="00971711"/>
    <w:rsid w:val="0098386C"/>
    <w:rsid w:val="00987024"/>
    <w:rsid w:val="00AA1D8D"/>
    <w:rsid w:val="00B47730"/>
    <w:rsid w:val="00B53E32"/>
    <w:rsid w:val="00C20A73"/>
    <w:rsid w:val="00C84E37"/>
    <w:rsid w:val="00CB0664"/>
    <w:rsid w:val="00DC623B"/>
    <w:rsid w:val="00DD5C0C"/>
    <w:rsid w:val="00DE02BA"/>
    <w:rsid w:val="00E1689F"/>
    <w:rsid w:val="00E57A8D"/>
    <w:rsid w:val="00F13F13"/>
    <w:rsid w:val="00F53037"/>
    <w:rsid w:val="00F573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F56249"/>
  <w14:defaultImageDpi w14:val="300"/>
  <w15:docId w15:val="{EBC8A054-3863-46E5-BC0A-C1AEE9F3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rdskrifttypeiafsnit"/>
    <w:uiPriority w:val="99"/>
    <w:unhideWhenUsed/>
    <w:rsid w:val="00201BB6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01BB6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F573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yperlink" Target="https://doi.org/10.1146/annurev.phyto.34.1.479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s://www.tystofte.dk/wp-content/uploads/2020/02/Protocol-for-nematode-resistance-screening-1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46/annurev-phyto-080508-08190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doi.org/10.3389/fpls.2021.713667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osearchassets.biosearchtech.com/assetsv6/running-KASP-on-Roche-LC480.pdf?_gl=1*1w65a4a*_gcl_au*OTAyMzg1NjcuMTc1Njk4ODQ1OQ..*_up*MQ..*_gs*MQ..*_ga*MjA2MzI0NzA5MS4xNzU2OTg4NDU5*_ga_QLQ6ZQ021Q*czE3NTk0ODIyMTUkbzIkZzEkdDE3NTk0ODI0MTkkajIwJGwwJGgw&amp;gclid=CjwKCAjw6P3GBhBVEiwAJPjmLvV4zoHimP16sF-NuPzZn9ftbxkdawbcPog8o5t7s7yg2i7kXaja2xoCsN4QAvD_B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7ED9682E8174B965FB4978E0705CB" ma:contentTypeVersion="18" ma:contentTypeDescription="Opret et nyt dokument." ma:contentTypeScope="" ma:versionID="f46db87874b7c142df7230ec2566cfd9">
  <xsd:schema xmlns:xsd="http://www.w3.org/2001/XMLSchema" xmlns:xs="http://www.w3.org/2001/XMLSchema" xmlns:p="http://schemas.microsoft.com/office/2006/metadata/properties" xmlns:ns2="e0acaf82-9e94-4cb4-8115-d9db3f3ed75c" xmlns:ns3="f776f3d1-aa51-4099-b040-ff16e1374008" targetNamespace="http://schemas.microsoft.com/office/2006/metadata/properties" ma:root="true" ma:fieldsID="03ecaba8d0faac62c8acd0c48395473b" ns2:_="" ns3:_="">
    <xsd:import namespace="e0acaf82-9e94-4cb4-8115-d9db3f3ed75c"/>
    <xsd:import namespace="f776f3d1-aa51-4099-b040-ff16e1374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caf82-9e94-4cb4-8115-d9db3f3ed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0b79e6d-3b55-482e-9b8b-08ba3e601a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6f3d1-aa51-4099-b040-ff16e1374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747974f-4ced-4156-897c-abd0853d47d6}" ma:internalName="TaxCatchAll" ma:showField="CatchAllData" ma:web="f776f3d1-aa51-4099-b040-ff16e1374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acaf82-9e94-4cb4-8115-d9db3f3ed75c">
      <Terms xmlns="http://schemas.microsoft.com/office/infopath/2007/PartnerControls"/>
    </lcf76f155ced4ddcb4097134ff3c332f>
    <TaxCatchAll xmlns="f776f3d1-aa51-4099-b040-ff16e1374008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0805AD-198E-41B4-B7DB-E91553AF0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caf82-9e94-4cb4-8115-d9db3f3ed75c"/>
    <ds:schemaRef ds:uri="f776f3d1-aa51-4099-b040-ff16e1374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66B9BA-F47D-40D7-BC5A-8A4F80F1A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2FC81D-A87A-450E-8346-CC6CDD124D18}">
  <ds:schemaRefs>
    <ds:schemaRef ds:uri="http://schemas.microsoft.com/office/infopath/2007/PartnerControls"/>
    <ds:schemaRef ds:uri="e0acaf82-9e94-4cb4-8115-d9db3f3ed75c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f776f3d1-aa51-4099-b040-ff16e137400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5160</Characters>
  <Application>Microsoft Office Word</Application>
  <DocSecurity>0</DocSecurity>
  <Lines>43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Hans Ravn Haldrup</cp:lastModifiedBy>
  <cp:revision>2</cp:revision>
  <dcterms:created xsi:type="dcterms:W3CDTF">2025-11-06T08:53:00Z</dcterms:created>
  <dcterms:modified xsi:type="dcterms:W3CDTF">2025-11-06T08:53:00Z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0x0101003EE7ED9682E8174B965FB4978E0705CB</vt:lpwstr>
  </property>
  <property fmtid="{D5CDD505-2E9C-101B-9397-08002B2CF9AE}" pid="3" name="MediaServiceImageTags">
    <vt:lpwstr/>
  </property>
</Properties>
</file>