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B06" w14:textId="77777777" w:rsidR="00E75745" w:rsidRPr="00E75745" w:rsidRDefault="00E75745" w:rsidP="00E75745">
      <w:pPr>
        <w:pStyle w:val="NormalWeb"/>
        <w:spacing w:before="0" w:beforeAutospacing="0" w:after="0" w:afterAutospacing="0"/>
        <w:rPr>
          <w:sz w:val="12"/>
          <w:szCs w:val="12"/>
        </w:rPr>
      </w:pPr>
      <w:r w:rsidRPr="00E75745">
        <w:rPr>
          <w:rFonts w:asciiTheme="minorHAnsi" w:eastAsiaTheme="minorEastAsia" w:hAnsi="Calibri" w:cstheme="minorBidi"/>
          <w:color w:val="0E586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WP2 - Training on organic cultivar testing</w:t>
      </w:r>
      <w:r w:rsidRPr="00E75745">
        <w:rPr>
          <w:rFonts w:asciiTheme="minorHAnsi" w:eastAsiaTheme="minorEastAsia" w:hAnsi="Calibri" w:cstheme="minorBidi"/>
          <w:color w:val="0E586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Module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8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–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Participatory trial methodology</w:t>
      </w:r>
    </w:p>
    <w:p w14:paraId="1796DA4E" w14:textId="77777777" w:rsidR="00E75745" w:rsidRPr="00E75745" w:rsidRDefault="00E75745" w:rsidP="00E75745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E75745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Unit 8.1 Frugal trial design</w:t>
      </w:r>
    </w:p>
    <w:p w14:paraId="7E6AD95E" w14:textId="3E9720FB" w:rsidR="001D6045" w:rsidRPr="00E75745" w:rsidRDefault="00E75745">
      <w:pPr>
        <w:rPr>
          <w:rFonts w:ascii="Gadugi" w:hAnsi="Gadug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5745">
        <w:rPr>
          <w:rFonts w:ascii="Gadugi" w:hAnsi="Gadug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Webinar: Participatory on-farm cultivar evaluation: LIVSEED outcomes – directed questions</w:t>
      </w:r>
    </w:p>
    <w:p w14:paraId="112CD4AA" w14:textId="0351A525" w:rsidR="00E75745" w:rsidRDefault="00E75745">
      <w:pPr>
        <w:rPr>
          <w:rFonts w:ascii="Gadugi" w:hAnsi="Gadugi"/>
          <w:i/>
          <w:iCs/>
        </w:rPr>
      </w:pPr>
      <w:r w:rsidRPr="00E75745">
        <w:rPr>
          <w:rFonts w:ascii="Gadugi" w:hAnsi="Gadugi"/>
          <w:i/>
          <w:iCs/>
        </w:rPr>
        <w:t xml:space="preserve">Please read these questions before listening to the webinar. Make some notes on this document or in your own notebook with answers and comments. Be prepared to </w:t>
      </w:r>
      <w:r w:rsidR="00917B54">
        <w:rPr>
          <w:rFonts w:ascii="Gadugi" w:hAnsi="Gadugi"/>
          <w:i/>
          <w:iCs/>
        </w:rPr>
        <w:t>cr</w:t>
      </w:r>
      <w:r w:rsidRPr="00E75745">
        <w:rPr>
          <w:rFonts w:ascii="Gadugi" w:hAnsi="Gadugi"/>
          <w:i/>
          <w:iCs/>
        </w:rPr>
        <w:t>discuss these questions with the group during the interactive session in this unit.</w:t>
      </w:r>
    </w:p>
    <w:p w14:paraId="6CFFD0D1" w14:textId="7B5862EF" w:rsidR="00E75745" w:rsidRDefault="00BF3894" w:rsidP="00BF3894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>What was the central question addressed in LIVESEED?</w:t>
      </w:r>
    </w:p>
    <w:p w14:paraId="282F95D9" w14:textId="77777777" w:rsidR="00913713" w:rsidRDefault="00913713" w:rsidP="00913713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What was meant by cultivars? </w:t>
      </w:r>
    </w:p>
    <w:p w14:paraId="24804593" w14:textId="68806A66" w:rsidR="00571CC4" w:rsidRPr="00571CC4" w:rsidRDefault="00571CC4" w:rsidP="00571CC4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  <w:color w:val="EE0000"/>
        </w:rPr>
        <w:t>Varieties, breeding lines, landraces, populations</w:t>
      </w:r>
    </w:p>
    <w:p w14:paraId="29EB93AA" w14:textId="0DF876CF" w:rsidR="00571CC4" w:rsidRDefault="00571CC4" w:rsidP="00030D78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Spend a few minutes exploring the definitions of each of these different types of </w:t>
      </w:r>
      <w:r w:rsidR="00030D78">
        <w:rPr>
          <w:rFonts w:ascii="Gadugi" w:hAnsi="Gadugi"/>
        </w:rPr>
        <w:t>cultivar</w:t>
      </w:r>
    </w:p>
    <w:p w14:paraId="677748EF" w14:textId="6962AD9B" w:rsidR="00030D78" w:rsidRDefault="00EC0B22" w:rsidP="00030D78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The </w:t>
      </w:r>
      <w:r w:rsidRPr="005C7165">
        <w:rPr>
          <w:rFonts w:ascii="Gadugi" w:hAnsi="Gadugi"/>
        </w:rPr>
        <w:t>problem</w:t>
      </w:r>
      <w:r>
        <w:rPr>
          <w:rFonts w:ascii="Gadugi" w:hAnsi="Gadugi"/>
        </w:rPr>
        <w:t xml:space="preserve"> – what factors determine the farmers’ choice of cultivar?</w:t>
      </w:r>
    </w:p>
    <w:p w14:paraId="7EB18CF4" w14:textId="78F327FC" w:rsidR="00EC0B22" w:rsidRPr="002558DC" w:rsidRDefault="00EC0B22" w:rsidP="00EC0B22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  <w:color w:val="EE0000"/>
        </w:rPr>
        <w:t>Farming system and environment</w:t>
      </w:r>
    </w:p>
    <w:p w14:paraId="5607C05C" w14:textId="3B713214" w:rsidR="002558DC" w:rsidRPr="00F06B69" w:rsidRDefault="002558DC" w:rsidP="002558DC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F06B69">
        <w:rPr>
          <w:rFonts w:ascii="Gadugi" w:hAnsi="Gadugi"/>
        </w:rPr>
        <w:t xml:space="preserve">What </w:t>
      </w:r>
      <w:r w:rsidR="001C173D" w:rsidRPr="00F06B69">
        <w:rPr>
          <w:rFonts w:ascii="Gadugi" w:hAnsi="Gadugi"/>
        </w:rPr>
        <w:t>outcomes will cultivars that are adapted to the farm effectively boost?</w:t>
      </w:r>
    </w:p>
    <w:p w14:paraId="52E7961B" w14:textId="622B26CD" w:rsidR="001C173D" w:rsidRPr="001C173D" w:rsidRDefault="001C173D" w:rsidP="001C173D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  <w:color w:val="EE0000"/>
        </w:rPr>
        <w:t>Productivity, yield stability, autonomy, end product quality, farm + value chain incomes</w:t>
      </w:r>
    </w:p>
    <w:p w14:paraId="07D7EB10" w14:textId="77777777" w:rsidR="00390C05" w:rsidRDefault="001C173D" w:rsidP="001C173D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What is meant by each of these terms? </w:t>
      </w:r>
      <w:r w:rsidR="00390C05">
        <w:rPr>
          <w:rFonts w:ascii="Gadugi" w:hAnsi="Gadugi"/>
        </w:rPr>
        <w:t>(you might need to do some further research online to find out!)</w:t>
      </w:r>
    </w:p>
    <w:p w14:paraId="487523B1" w14:textId="2D545AE6" w:rsidR="00E656F0" w:rsidRDefault="00E656F0" w:rsidP="00F0254D">
      <w:pPr>
        <w:pStyle w:val="ListParagraph"/>
        <w:numPr>
          <w:ilvl w:val="2"/>
          <w:numId w:val="1"/>
        </w:numPr>
        <w:rPr>
          <w:rFonts w:ascii="Gadugi" w:hAnsi="Gadugi"/>
          <w:color w:val="EE0000"/>
        </w:rPr>
      </w:pPr>
      <w:r>
        <w:rPr>
          <w:rFonts w:ascii="Gadugi" w:hAnsi="Gadugi"/>
          <w:color w:val="EE0000"/>
        </w:rPr>
        <w:t>Productivity: simply yield/biomass production</w:t>
      </w:r>
    </w:p>
    <w:p w14:paraId="50EBC955" w14:textId="72CD48F7" w:rsidR="00F0254D" w:rsidRDefault="00F0254D" w:rsidP="00F0254D">
      <w:pPr>
        <w:pStyle w:val="ListParagraph"/>
        <w:numPr>
          <w:ilvl w:val="2"/>
          <w:numId w:val="1"/>
        </w:numPr>
        <w:rPr>
          <w:rFonts w:ascii="Gadugi" w:hAnsi="Gadugi"/>
          <w:color w:val="EE0000"/>
        </w:rPr>
      </w:pPr>
      <w:r w:rsidRPr="00F0254D">
        <w:rPr>
          <w:rFonts w:ascii="Gadugi" w:hAnsi="Gadugi"/>
          <w:color w:val="EE0000"/>
        </w:rPr>
        <w:t>Yield stability: the variability of yield across years</w:t>
      </w:r>
      <w:r>
        <w:rPr>
          <w:rFonts w:ascii="Gadugi" w:hAnsi="Gadugi"/>
          <w:color w:val="EE0000"/>
        </w:rPr>
        <w:t xml:space="preserve"> (see </w:t>
      </w:r>
      <w:r w:rsidR="00895640">
        <w:rPr>
          <w:rFonts w:ascii="Gadugi" w:hAnsi="Gadugi"/>
          <w:color w:val="EE0000"/>
        </w:rPr>
        <w:t>Knapp &amp; van der Heijden 2018)</w:t>
      </w:r>
    </w:p>
    <w:p w14:paraId="6B82209B" w14:textId="21E82C2B" w:rsidR="00FF0884" w:rsidRPr="00FF0884" w:rsidRDefault="00FF0884" w:rsidP="00FF0884">
      <w:pPr>
        <w:pStyle w:val="ListParagraph"/>
        <w:numPr>
          <w:ilvl w:val="2"/>
          <w:numId w:val="1"/>
        </w:numPr>
        <w:rPr>
          <w:rFonts w:ascii="Gadugi" w:hAnsi="Gadugi"/>
          <w:color w:val="EE0000"/>
        </w:rPr>
      </w:pPr>
      <w:r w:rsidRPr="00FF0884">
        <w:rPr>
          <w:rFonts w:ascii="Gadugi" w:hAnsi="Gadugi"/>
          <w:color w:val="EE0000"/>
        </w:rPr>
        <w:t xml:space="preserve">Autonomy: In this context, refers to the </w:t>
      </w:r>
      <w:r w:rsidRPr="00FF0884">
        <w:rPr>
          <w:rFonts w:ascii="Gadugi" w:hAnsi="Gadugi"/>
          <w:b/>
          <w:bCs/>
          <w:color w:val="EE0000"/>
        </w:rPr>
        <w:t>ability and authority of farmers to make decisions independently</w:t>
      </w:r>
      <w:r w:rsidRPr="00FF0884">
        <w:rPr>
          <w:rFonts w:ascii="Gadugi" w:hAnsi="Gadugi"/>
          <w:color w:val="EE0000"/>
        </w:rPr>
        <w:t xml:space="preserve"> within participatory research or variety testing processes.</w:t>
      </w:r>
      <w:r>
        <w:rPr>
          <w:rFonts w:ascii="Gadugi" w:hAnsi="Gadugi"/>
          <w:color w:val="EE0000"/>
        </w:rPr>
        <w:t xml:space="preserve"> </w:t>
      </w:r>
      <w:r w:rsidRPr="00FF0884">
        <w:rPr>
          <w:rFonts w:ascii="Gadugi" w:hAnsi="Gadugi"/>
          <w:b/>
          <w:bCs/>
          <w:color w:val="EE0000"/>
        </w:rPr>
        <w:t>Autonomy</w:t>
      </w:r>
      <w:r w:rsidRPr="00FF0884">
        <w:rPr>
          <w:rFonts w:ascii="Gadugi" w:hAnsi="Gadugi"/>
          <w:color w:val="EE0000"/>
        </w:rPr>
        <w:t xml:space="preserve"> refers to the capacity of farmers to make independent decisions about trial design, variety selection, and evaluation processes—without being directed or overruled by external technical or scientific authorities. It reflects a shift in power dynamics, where farmers are recognised as equal partners and their contextual knowledge is respected and integrated into the research process.</w:t>
      </w:r>
    </w:p>
    <w:p w14:paraId="7A29C3BB" w14:textId="77777777" w:rsidR="00FF0884" w:rsidRPr="00FF0884" w:rsidRDefault="00FF0884" w:rsidP="00FF0884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FF0884">
        <w:rPr>
          <w:rFonts w:ascii="Gadugi" w:hAnsi="Gadugi"/>
          <w:color w:val="EE0000"/>
        </w:rPr>
        <w:t>This definition highlights:</w:t>
      </w:r>
    </w:p>
    <w:p w14:paraId="2F46CCA7" w14:textId="77777777" w:rsidR="00FF0884" w:rsidRPr="00FF0884" w:rsidRDefault="00FF0884" w:rsidP="00FF0884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FF0884">
        <w:rPr>
          <w:rFonts w:ascii="Gadugi" w:hAnsi="Gadugi"/>
          <w:b/>
          <w:bCs/>
          <w:color w:val="EE0000"/>
        </w:rPr>
        <w:t>Decision-making power</w:t>
      </w:r>
      <w:r w:rsidRPr="00FF0884">
        <w:rPr>
          <w:rFonts w:ascii="Gadugi" w:hAnsi="Gadugi"/>
          <w:color w:val="EE0000"/>
        </w:rPr>
        <w:t xml:space="preserve"> retained by farmers</w:t>
      </w:r>
    </w:p>
    <w:p w14:paraId="4A25F5EA" w14:textId="77777777" w:rsidR="00FF0884" w:rsidRPr="00FF0884" w:rsidRDefault="00FF0884" w:rsidP="00FF0884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FF0884">
        <w:rPr>
          <w:rFonts w:ascii="Gadugi" w:hAnsi="Gadugi"/>
          <w:b/>
          <w:bCs/>
          <w:color w:val="EE0000"/>
        </w:rPr>
        <w:lastRenderedPageBreak/>
        <w:t>Reduced dominance</w:t>
      </w:r>
      <w:r w:rsidRPr="00FF0884">
        <w:rPr>
          <w:rFonts w:ascii="Gadugi" w:hAnsi="Gadugi"/>
          <w:color w:val="EE0000"/>
        </w:rPr>
        <w:t xml:space="preserve"> of external experts</w:t>
      </w:r>
    </w:p>
    <w:p w14:paraId="2D57E448" w14:textId="77777777" w:rsidR="00FF0884" w:rsidRPr="00FF0884" w:rsidRDefault="00FF0884" w:rsidP="00FF0884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FF0884">
        <w:rPr>
          <w:rFonts w:ascii="Gadugi" w:hAnsi="Gadugi"/>
          <w:color w:val="EE0000"/>
        </w:rPr>
        <w:t xml:space="preserve">A system that </w:t>
      </w:r>
      <w:r w:rsidRPr="00FF0884">
        <w:rPr>
          <w:rFonts w:ascii="Gadugi" w:hAnsi="Gadugi"/>
          <w:b/>
          <w:bCs/>
          <w:color w:val="EE0000"/>
        </w:rPr>
        <w:t>respects and integrates farmers’ knowledge</w:t>
      </w:r>
    </w:p>
    <w:p w14:paraId="09965B5B" w14:textId="1FDD6291" w:rsidR="00895640" w:rsidRPr="00F0254D" w:rsidRDefault="00895640" w:rsidP="00F0254D">
      <w:pPr>
        <w:pStyle w:val="ListParagraph"/>
        <w:numPr>
          <w:ilvl w:val="2"/>
          <w:numId w:val="1"/>
        </w:numPr>
        <w:rPr>
          <w:rFonts w:ascii="Gadugi" w:hAnsi="Gadugi"/>
          <w:color w:val="EE0000"/>
        </w:rPr>
      </w:pPr>
    </w:p>
    <w:p w14:paraId="7BB1A26F" w14:textId="390B76C3" w:rsidR="001C173D" w:rsidRDefault="001C173D" w:rsidP="001C173D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</w:rPr>
        <w:t>How is productivity different from yield stability? What is “autonomy” in this context? And what do we mean by “value chain incomes”?</w:t>
      </w:r>
    </w:p>
    <w:p w14:paraId="345950D8" w14:textId="77777777" w:rsidR="00CB02F8" w:rsidRPr="00CB02F8" w:rsidRDefault="00CB02F8" w:rsidP="00CB02F8">
      <w:pPr>
        <w:pStyle w:val="ListParagraph"/>
        <w:numPr>
          <w:ilvl w:val="2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Value chain incomes refer to the earnings or economic returns generated by different actors along the value chain — from production through processing, distribution, and retail — for a specific product or commodity.</w:t>
      </w:r>
    </w:p>
    <w:p w14:paraId="617F302E" w14:textId="77777777" w:rsidR="00CB02F8" w:rsidRPr="00CB02F8" w:rsidRDefault="00CB02F8" w:rsidP="00CB02F8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It's a way to describe how the total value created by a product is shared among participants, such as:</w:t>
      </w:r>
    </w:p>
    <w:p w14:paraId="67683A03" w14:textId="77777777" w:rsidR="00CB02F8" w:rsidRPr="00CB02F8" w:rsidRDefault="00CB02F8" w:rsidP="00CB02F8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Farmers (producers)</w:t>
      </w:r>
    </w:p>
    <w:p w14:paraId="2486751C" w14:textId="77777777" w:rsidR="00CB02F8" w:rsidRPr="00CB02F8" w:rsidRDefault="00CB02F8" w:rsidP="00CB02F8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Processors</w:t>
      </w:r>
    </w:p>
    <w:p w14:paraId="55477BDA" w14:textId="77777777" w:rsidR="00CB02F8" w:rsidRPr="00CB02F8" w:rsidRDefault="00CB02F8" w:rsidP="00CB02F8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Wholesalers</w:t>
      </w:r>
    </w:p>
    <w:p w14:paraId="32673B61" w14:textId="77777777" w:rsidR="00CB02F8" w:rsidRPr="00CB02F8" w:rsidRDefault="00CB02F8" w:rsidP="00CB02F8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Retailers</w:t>
      </w:r>
    </w:p>
    <w:p w14:paraId="3D5DC245" w14:textId="77777777" w:rsidR="00CB02F8" w:rsidRPr="00CB02F8" w:rsidRDefault="00CB02F8" w:rsidP="00CB02F8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Input suppliers</w:t>
      </w:r>
    </w:p>
    <w:p w14:paraId="50F29639" w14:textId="77777777" w:rsidR="00CB02F8" w:rsidRPr="00CB02F8" w:rsidRDefault="00CB02F8" w:rsidP="00CB02F8">
      <w:pPr>
        <w:pStyle w:val="ListParagraph"/>
        <w:numPr>
          <w:ilvl w:val="3"/>
          <w:numId w:val="1"/>
        </w:numPr>
        <w:rPr>
          <w:rFonts w:ascii="Gadugi" w:hAnsi="Gadugi"/>
          <w:color w:val="EE0000"/>
        </w:rPr>
      </w:pPr>
      <w:r w:rsidRPr="00CB02F8">
        <w:rPr>
          <w:rFonts w:ascii="Gadugi" w:hAnsi="Gadugi"/>
          <w:color w:val="EE0000"/>
        </w:rPr>
        <w:t>Transporters</w:t>
      </w:r>
    </w:p>
    <w:p w14:paraId="057B3A87" w14:textId="77777777" w:rsidR="00CB02F8" w:rsidRDefault="00CB02F8" w:rsidP="00CB02F8">
      <w:pPr>
        <w:pStyle w:val="ListParagraph"/>
        <w:numPr>
          <w:ilvl w:val="2"/>
          <w:numId w:val="1"/>
        </w:numPr>
        <w:rPr>
          <w:rFonts w:ascii="Gadugi" w:hAnsi="Gadugi"/>
        </w:rPr>
      </w:pPr>
    </w:p>
    <w:p w14:paraId="130CF3FD" w14:textId="29BCAC30" w:rsidR="001C173D" w:rsidRDefault="003C3946" w:rsidP="00F06B69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>How are cultivars tested in conventional systems? What are the problems with using this approach for selection of cultivars for organic systems?</w:t>
      </w:r>
    </w:p>
    <w:p w14:paraId="4ADC319C" w14:textId="35AA747D" w:rsidR="003C3946" w:rsidRPr="00A16E13" w:rsidRDefault="003C3946" w:rsidP="003C3946">
      <w:pPr>
        <w:pStyle w:val="ListParagraph"/>
        <w:numPr>
          <w:ilvl w:val="1"/>
          <w:numId w:val="1"/>
        </w:numPr>
        <w:rPr>
          <w:rFonts w:ascii="Gadugi" w:hAnsi="Gadugi"/>
          <w:color w:val="EE0000"/>
        </w:rPr>
      </w:pPr>
      <w:r w:rsidRPr="00A16E13">
        <w:rPr>
          <w:rFonts w:ascii="Gadugi" w:hAnsi="Gadugi"/>
          <w:color w:val="EE0000"/>
        </w:rPr>
        <w:t xml:space="preserve">Higher diversity in organic systems; </w:t>
      </w:r>
      <w:r w:rsidR="00525316" w:rsidRPr="00A16E13">
        <w:rPr>
          <w:rFonts w:ascii="Gadugi" w:hAnsi="Gadugi"/>
          <w:color w:val="EE0000"/>
        </w:rPr>
        <w:t>diversified environments which are not managed through use of inputs (fertilisers, pesticides)</w:t>
      </w:r>
    </w:p>
    <w:p w14:paraId="1F7AB53F" w14:textId="6D18A359" w:rsidR="00E352D6" w:rsidRPr="00E352D6" w:rsidRDefault="00A16E13" w:rsidP="00E352D6">
      <w:pPr>
        <w:pStyle w:val="ListParagraph"/>
        <w:numPr>
          <w:ilvl w:val="1"/>
          <w:numId w:val="1"/>
        </w:numPr>
        <w:rPr>
          <w:rFonts w:ascii="Gadugi" w:hAnsi="Gadugi"/>
          <w:color w:val="EE0000"/>
        </w:rPr>
      </w:pPr>
      <w:r w:rsidRPr="00A16E13">
        <w:rPr>
          <w:rFonts w:ascii="Gadugi" w:hAnsi="Gadugi"/>
          <w:color w:val="EE0000"/>
        </w:rPr>
        <w:t>Cost of trials is also a factor</w:t>
      </w:r>
    </w:p>
    <w:p w14:paraId="51483C8C" w14:textId="0234AA47" w:rsidR="00E352D6" w:rsidRPr="00E352D6" w:rsidRDefault="00E352D6" w:rsidP="00E352D6">
      <w:pPr>
        <w:pStyle w:val="ListParagraph"/>
        <w:numPr>
          <w:ilvl w:val="0"/>
          <w:numId w:val="1"/>
        </w:numPr>
        <w:rPr>
          <w:rFonts w:ascii="Gadugi" w:hAnsi="Gadugi"/>
          <w:color w:val="EE0000"/>
        </w:rPr>
      </w:pPr>
      <w:r>
        <w:rPr>
          <w:rFonts w:ascii="Gadugi" w:hAnsi="Gadugi"/>
        </w:rPr>
        <w:t>What are</w:t>
      </w:r>
      <w:r w:rsidR="001C2A39">
        <w:rPr>
          <w:rFonts w:ascii="Gadugi" w:hAnsi="Gadugi"/>
        </w:rPr>
        <w:t xml:space="preserve"> some</w:t>
      </w:r>
      <w:r>
        <w:rPr>
          <w:rFonts w:ascii="Gadugi" w:hAnsi="Gadugi"/>
        </w:rPr>
        <w:t xml:space="preserve"> characteristics of the proposed cultivar testing models for organic farming?</w:t>
      </w:r>
    </w:p>
    <w:p w14:paraId="2BD1DDA5" w14:textId="11A26479" w:rsidR="00E352D6" w:rsidRDefault="00E352D6" w:rsidP="00E352D6">
      <w:pPr>
        <w:pStyle w:val="ListParagraph"/>
        <w:numPr>
          <w:ilvl w:val="1"/>
          <w:numId w:val="1"/>
        </w:numPr>
        <w:rPr>
          <w:rFonts w:ascii="Gadugi" w:hAnsi="Gadugi"/>
          <w:color w:val="EE0000"/>
        </w:rPr>
      </w:pPr>
      <w:r>
        <w:rPr>
          <w:rFonts w:ascii="Gadugi" w:hAnsi="Gadugi"/>
          <w:color w:val="EE0000"/>
        </w:rPr>
        <w:t>Participatory</w:t>
      </w:r>
    </w:p>
    <w:p w14:paraId="631DA3A8" w14:textId="7A51A4A7" w:rsidR="00E352D6" w:rsidRDefault="00E352D6" w:rsidP="00E352D6">
      <w:pPr>
        <w:pStyle w:val="ListParagraph"/>
        <w:numPr>
          <w:ilvl w:val="1"/>
          <w:numId w:val="1"/>
        </w:numPr>
        <w:rPr>
          <w:rFonts w:ascii="Gadugi" w:hAnsi="Gadugi"/>
          <w:color w:val="EE0000"/>
        </w:rPr>
      </w:pPr>
      <w:r>
        <w:rPr>
          <w:rFonts w:ascii="Gadugi" w:hAnsi="Gadugi"/>
          <w:color w:val="EE0000"/>
        </w:rPr>
        <w:t>Decentralised</w:t>
      </w:r>
      <w:r w:rsidR="00144AC0">
        <w:rPr>
          <w:rFonts w:ascii="Gadugi" w:hAnsi="Gadugi"/>
          <w:color w:val="EE0000"/>
        </w:rPr>
        <w:t xml:space="preserve"> (distributed)</w:t>
      </w:r>
    </w:p>
    <w:p w14:paraId="0AC80E0F" w14:textId="7DB4CC91" w:rsidR="00E352D6" w:rsidRDefault="00E352D6" w:rsidP="00E352D6">
      <w:pPr>
        <w:pStyle w:val="ListParagraph"/>
        <w:numPr>
          <w:ilvl w:val="1"/>
          <w:numId w:val="1"/>
        </w:numPr>
        <w:rPr>
          <w:rFonts w:ascii="Gadugi" w:hAnsi="Gadugi"/>
          <w:color w:val="EE0000"/>
        </w:rPr>
      </w:pPr>
      <w:r>
        <w:rPr>
          <w:rFonts w:ascii="Gadugi" w:hAnsi="Gadugi"/>
          <w:color w:val="EE0000"/>
        </w:rPr>
        <w:t>Frugal</w:t>
      </w:r>
    </w:p>
    <w:p w14:paraId="3A5F3157" w14:textId="4310DA2D" w:rsidR="00E41EE4" w:rsidRDefault="00E41EE4" w:rsidP="00E352D6">
      <w:pPr>
        <w:pStyle w:val="ListParagraph"/>
        <w:numPr>
          <w:ilvl w:val="1"/>
          <w:numId w:val="1"/>
        </w:numPr>
        <w:rPr>
          <w:rFonts w:ascii="Gadugi" w:hAnsi="Gadugi"/>
          <w:color w:val="EE0000"/>
        </w:rPr>
      </w:pPr>
      <w:r>
        <w:rPr>
          <w:rFonts w:ascii="Gadugi" w:hAnsi="Gadugi"/>
          <w:color w:val="EE0000"/>
        </w:rPr>
        <w:t>An “ecosystem”</w:t>
      </w:r>
    </w:p>
    <w:p w14:paraId="3504AD0B" w14:textId="73737D4D" w:rsidR="00E74344" w:rsidRDefault="00B14C4E" w:rsidP="00BA7B15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What are three broad categories of cultivar evaluation trials defined in the webinar? </w:t>
      </w:r>
      <w:r w:rsidR="00E204E5">
        <w:rPr>
          <w:rFonts w:ascii="Gadugi" w:hAnsi="Gadugi"/>
        </w:rPr>
        <w:t>Compare and contrast these methods. (how are they similar to each other; how are they different?)</w:t>
      </w:r>
    </w:p>
    <w:p w14:paraId="4B5C4FE3" w14:textId="3B6EB511" w:rsidR="00E74344" w:rsidRPr="00545852" w:rsidRDefault="00AB00C2" w:rsidP="00BA7B15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  <w:color w:val="EE0000"/>
        </w:rPr>
        <w:t>Analytic trials</w:t>
      </w:r>
      <w:r w:rsidR="00FC5924">
        <w:rPr>
          <w:rFonts w:ascii="Gadugi" w:hAnsi="Gadugi"/>
          <w:color w:val="EE0000"/>
        </w:rPr>
        <w:t xml:space="preserve"> - </w:t>
      </w:r>
      <w:r w:rsidR="00E74344">
        <w:rPr>
          <w:rFonts w:ascii="Gadugi" w:hAnsi="Gadugi"/>
          <w:color w:val="EE0000"/>
        </w:rPr>
        <w:t>Randomised trials, managed by technicians</w:t>
      </w:r>
      <w:r w:rsidR="00601D8A">
        <w:rPr>
          <w:rFonts w:ascii="Gadugi" w:hAnsi="Gadugi"/>
          <w:color w:val="EE0000"/>
        </w:rPr>
        <w:t xml:space="preserve">, on-farms but not the same as farmer practice, high cost </w:t>
      </w:r>
    </w:p>
    <w:p w14:paraId="01067A98" w14:textId="1867F503" w:rsidR="00545852" w:rsidRPr="00BA7B15" w:rsidRDefault="00545852" w:rsidP="00BA7B15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  <w:color w:val="EE0000"/>
        </w:rPr>
        <w:lastRenderedPageBreak/>
        <w:t>Decentralised participatory trials</w:t>
      </w:r>
      <w:r w:rsidR="00FC5924">
        <w:rPr>
          <w:rFonts w:ascii="Gadugi" w:hAnsi="Gadugi"/>
          <w:color w:val="EE0000"/>
        </w:rPr>
        <w:t xml:space="preserve"> -</w:t>
      </w:r>
      <w:r>
        <w:rPr>
          <w:rFonts w:ascii="Gadugi" w:hAnsi="Gadugi"/>
          <w:color w:val="EE0000"/>
        </w:rPr>
        <w:t xml:space="preserve"> managed by technicians and farmers; might be small plots or big plots; flexible experimental design</w:t>
      </w:r>
      <w:r w:rsidR="00D56FCA">
        <w:rPr>
          <w:rFonts w:ascii="Gadugi" w:hAnsi="Gadugi"/>
          <w:color w:val="EE0000"/>
        </w:rPr>
        <w:t>; can be representative/real-world evidence</w:t>
      </w:r>
    </w:p>
    <w:p w14:paraId="2E49E33E" w14:textId="73967C48" w:rsidR="00A10411" w:rsidRPr="0018238E" w:rsidRDefault="00F26A83" w:rsidP="00A10411">
      <w:pPr>
        <w:pStyle w:val="ListParagraph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  <w:color w:val="EE0000"/>
        </w:rPr>
        <w:t xml:space="preserve">Participatory observation - </w:t>
      </w:r>
      <w:r w:rsidR="00A10411">
        <w:rPr>
          <w:rFonts w:ascii="Gadugi" w:hAnsi="Gadugi"/>
          <w:color w:val="EE0000"/>
        </w:rPr>
        <w:t>Strength is low cost, representative of real conditions, low quantitative precision</w:t>
      </w:r>
      <w:r w:rsidR="0018238E">
        <w:rPr>
          <w:rFonts w:ascii="Gadugi" w:hAnsi="Gadugi"/>
          <w:color w:val="EE0000"/>
        </w:rPr>
        <w:t xml:space="preserve"> – this sounds like SeedLinked model</w:t>
      </w:r>
    </w:p>
    <w:p w14:paraId="1C63C1C7" w14:textId="03F1BDB5" w:rsidR="0018238E" w:rsidRDefault="0018238E" w:rsidP="0018238E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Discuss the pros and cons of the three different approaches to on-farm cultivar trials </w:t>
      </w:r>
      <w:r w:rsidR="000613DB">
        <w:rPr>
          <w:rFonts w:ascii="Gadugi" w:hAnsi="Gadugi"/>
        </w:rPr>
        <w:t>presented in the webinar</w:t>
      </w:r>
    </w:p>
    <w:p w14:paraId="49F2F201" w14:textId="3F902E85" w:rsidR="00E35437" w:rsidRDefault="00E169CD" w:rsidP="0018238E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In the webinar a decision tree for </w:t>
      </w:r>
      <w:r w:rsidR="002849B6">
        <w:rPr>
          <w:rFonts w:ascii="Gadugi" w:hAnsi="Gadugi"/>
        </w:rPr>
        <w:t xml:space="preserve">designing on-farm cultivar evaluation trials is presented. Use the table on the next page to fill </w:t>
      </w:r>
      <w:r w:rsidR="003A65D8">
        <w:rPr>
          <w:rFonts w:ascii="Gadugi" w:hAnsi="Gadugi"/>
        </w:rPr>
        <w:t xml:space="preserve">details about the decision making factors, experimental designs, and types of measurements used in these studies. </w:t>
      </w:r>
      <w:r w:rsidR="00D27D17">
        <w:rPr>
          <w:rFonts w:ascii="Gadugi" w:hAnsi="Gadugi"/>
        </w:rPr>
        <w:t xml:space="preserve"> </w:t>
      </w:r>
    </w:p>
    <w:p w14:paraId="3901D0F9" w14:textId="2D8A1E56" w:rsidR="00B4352E" w:rsidRDefault="0025162A" w:rsidP="00D42410">
      <w:pPr>
        <w:pStyle w:val="ListParagraph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What is meant by “hybrid solutions”? </w:t>
      </w:r>
    </w:p>
    <w:p w14:paraId="799E7A19" w14:textId="4B95C530" w:rsidR="00A95769" w:rsidRPr="008A74B5" w:rsidRDefault="00A95769" w:rsidP="00A95769">
      <w:pPr>
        <w:pStyle w:val="ListParagraph"/>
        <w:numPr>
          <w:ilvl w:val="1"/>
          <w:numId w:val="1"/>
        </w:numPr>
        <w:rPr>
          <w:rFonts w:ascii="Gadugi" w:hAnsi="Gadugi"/>
          <w:color w:val="EE0000"/>
        </w:rPr>
      </w:pPr>
      <w:r w:rsidRPr="008A74B5">
        <w:rPr>
          <w:rFonts w:ascii="Gadugi" w:hAnsi="Gadugi"/>
          <w:color w:val="EE0000"/>
        </w:rPr>
        <w:t xml:space="preserve">Solutions that fall somewhere between the three distinct approaches </w:t>
      </w:r>
      <w:r w:rsidR="008A74B5" w:rsidRPr="008A74B5">
        <w:rPr>
          <w:rFonts w:ascii="Gadugi" w:hAnsi="Gadugi"/>
          <w:color w:val="EE0000"/>
        </w:rPr>
        <w:t>presented in the webinar</w:t>
      </w:r>
    </w:p>
    <w:p w14:paraId="2FE2B0C7" w14:textId="77777777" w:rsidR="00D42410" w:rsidRDefault="00D42410" w:rsidP="00D42410">
      <w:pPr>
        <w:rPr>
          <w:rFonts w:ascii="Gadugi" w:hAnsi="Gadugi"/>
          <w:color w:val="EE0000"/>
        </w:rPr>
      </w:pPr>
    </w:p>
    <w:p w14:paraId="52447F9C" w14:textId="77777777" w:rsidR="00D42410" w:rsidRPr="00D42410" w:rsidRDefault="00D42410" w:rsidP="00D42410">
      <w:pPr>
        <w:rPr>
          <w:rFonts w:ascii="Gadugi" w:hAnsi="Gadugi"/>
          <w:color w:val="EE0000"/>
        </w:rPr>
        <w:sectPr w:rsidR="00D42410" w:rsidRPr="00D4241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30DF94" w14:textId="77777777" w:rsidR="00395BF3" w:rsidRPr="00395BF3" w:rsidRDefault="00395BF3" w:rsidP="00AA115A"/>
    <w:p w14:paraId="130E2258" w14:textId="78AACDB0" w:rsidR="00C01E37" w:rsidRDefault="00C01E37" w:rsidP="00AA115A"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Summary of </w:t>
      </w:r>
      <w:r w:rsidR="00AA115A">
        <w:t xml:space="preserve">characteristics of </w:t>
      </w:r>
      <w:r w:rsidR="002D30A2">
        <w:t xml:space="preserve">4 </w:t>
      </w:r>
      <w:r w:rsidR="00AA115A">
        <w:t xml:space="preserve">different types of on-farm cultivar evaluation trials that could be used to </w:t>
      </w:r>
      <w:r w:rsidR="00AA115A" w:rsidRPr="00AA115A">
        <w:t>compare several varieties at network level</w:t>
      </w:r>
    </w:p>
    <w:tbl>
      <w:tblPr>
        <w:tblStyle w:val="GridTable5Dark-Accent6"/>
        <w:tblW w:w="5000" w:type="pct"/>
        <w:tblLook w:val="04A0" w:firstRow="1" w:lastRow="0" w:firstColumn="1" w:lastColumn="0" w:noHBand="0" w:noVBand="1"/>
      </w:tblPr>
      <w:tblGrid>
        <w:gridCol w:w="2321"/>
        <w:gridCol w:w="2176"/>
        <w:gridCol w:w="3214"/>
        <w:gridCol w:w="2812"/>
        <w:gridCol w:w="1866"/>
        <w:gridCol w:w="1559"/>
      </w:tblGrid>
      <w:tr w:rsidR="00B551B7" w:rsidRPr="00946E05" w14:paraId="6A736EEA" w14:textId="77777777" w:rsidTr="00376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119816E1" w14:textId="77777777" w:rsidR="00CC6A78" w:rsidRDefault="00CC6A78" w:rsidP="00020860">
            <w:pPr>
              <w:rPr>
                <w:rFonts w:ascii="Gadugi" w:hAnsi="Gadugi"/>
              </w:rPr>
            </w:pPr>
          </w:p>
        </w:tc>
        <w:tc>
          <w:tcPr>
            <w:tcW w:w="780" w:type="pct"/>
          </w:tcPr>
          <w:p w14:paraId="12B27AE6" w14:textId="77777777" w:rsidR="00CC6A78" w:rsidRPr="00946E05" w:rsidRDefault="00CC6A78" w:rsidP="00020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</w:p>
        </w:tc>
        <w:tc>
          <w:tcPr>
            <w:tcW w:w="1152" w:type="pct"/>
          </w:tcPr>
          <w:p w14:paraId="64219621" w14:textId="12C4DAAC" w:rsidR="00CC6A78" w:rsidRPr="00B551B7" w:rsidRDefault="00CC6A78" w:rsidP="00B551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 w:rsidRPr="00B551B7">
              <w:rPr>
                <w:rFonts w:ascii="Gadugi" w:hAnsi="Gadugi"/>
              </w:rPr>
              <w:t>Participatory observation</w:t>
            </w:r>
          </w:p>
        </w:tc>
        <w:tc>
          <w:tcPr>
            <w:tcW w:w="1008" w:type="pct"/>
          </w:tcPr>
          <w:p w14:paraId="77896240" w14:textId="633A5ABC" w:rsidR="00CC6A78" w:rsidRPr="00B551B7" w:rsidRDefault="00CC6A78" w:rsidP="00B551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 w:rsidRPr="00B551B7">
              <w:rPr>
                <w:rFonts w:ascii="Gadugi" w:hAnsi="Gadugi"/>
              </w:rPr>
              <w:t>Decentralised participatory trials</w:t>
            </w:r>
          </w:p>
        </w:tc>
        <w:tc>
          <w:tcPr>
            <w:tcW w:w="1228" w:type="pct"/>
            <w:gridSpan w:val="2"/>
          </w:tcPr>
          <w:p w14:paraId="32F7E0AF" w14:textId="77D65820" w:rsidR="00CC6A78" w:rsidRPr="00B551B7" w:rsidRDefault="00CC6A78" w:rsidP="00B551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 w:rsidRPr="00B551B7">
              <w:rPr>
                <w:rFonts w:ascii="Gadugi" w:hAnsi="Gadugi"/>
              </w:rPr>
              <w:t>Analytic trials</w:t>
            </w:r>
          </w:p>
        </w:tc>
      </w:tr>
      <w:tr w:rsidR="00B551B7" w:rsidRPr="00946E05" w14:paraId="5EB91859" w14:textId="5539735C" w:rsidTr="0037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Merge w:val="restart"/>
          </w:tcPr>
          <w:p w14:paraId="3BB6F4B7" w14:textId="10864FA7" w:rsidR="009B5FCE" w:rsidRPr="00946E05" w:rsidRDefault="009B5FCE" w:rsidP="00020860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Decision making factor</w:t>
            </w:r>
          </w:p>
        </w:tc>
        <w:tc>
          <w:tcPr>
            <w:tcW w:w="780" w:type="pct"/>
          </w:tcPr>
          <w:p w14:paraId="69512A97" w14:textId="647370B0" w:rsidR="009B5FCE" w:rsidRPr="00946E05" w:rsidRDefault="009B5FCE" w:rsidP="0002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 w:rsidRPr="00946E05">
              <w:rPr>
                <w:rFonts w:ascii="Gadugi" w:hAnsi="Gadugi"/>
              </w:rPr>
              <w:t>Number locations</w:t>
            </w:r>
          </w:p>
        </w:tc>
        <w:tc>
          <w:tcPr>
            <w:tcW w:w="1152" w:type="pct"/>
          </w:tcPr>
          <w:p w14:paraId="69DBDF29" w14:textId="78552FCD" w:rsidR="009B5FCE" w:rsidRPr="00946E05" w:rsidRDefault="009B5FCE" w:rsidP="0002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 w:rsidRPr="00946E05">
              <w:rPr>
                <w:rFonts w:ascii="Gadugi" w:hAnsi="Gadugi"/>
              </w:rPr>
              <w:t>At least 100</w:t>
            </w:r>
          </w:p>
        </w:tc>
        <w:tc>
          <w:tcPr>
            <w:tcW w:w="1008" w:type="pct"/>
          </w:tcPr>
          <w:p w14:paraId="330D0ED9" w14:textId="5BB384AB" w:rsidR="009B5FCE" w:rsidRPr="00946E05" w:rsidRDefault="009B5FCE" w:rsidP="0002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 w:rsidRPr="00946E05">
              <w:rPr>
                <w:rFonts w:ascii="Gadugi" w:hAnsi="Gadugi"/>
              </w:rPr>
              <w:t>At least 20 locations</w:t>
            </w:r>
          </w:p>
        </w:tc>
        <w:tc>
          <w:tcPr>
            <w:tcW w:w="669" w:type="pct"/>
          </w:tcPr>
          <w:p w14:paraId="16FF6457" w14:textId="279B3DBB" w:rsidR="009B5FCE" w:rsidRPr="00946E05" w:rsidRDefault="009B5FCE" w:rsidP="0002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 w:rsidRPr="00946E05">
              <w:rPr>
                <w:rFonts w:ascii="Gadugi" w:hAnsi="Gadugi"/>
              </w:rPr>
              <w:t>At least 2 locations</w:t>
            </w:r>
          </w:p>
        </w:tc>
        <w:tc>
          <w:tcPr>
            <w:tcW w:w="559" w:type="pct"/>
          </w:tcPr>
          <w:p w14:paraId="180B6146" w14:textId="3F5C1748" w:rsidR="009B5FCE" w:rsidRPr="00946E05" w:rsidRDefault="009B5FCE" w:rsidP="0002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At least 2 locations</w:t>
            </w:r>
          </w:p>
        </w:tc>
      </w:tr>
      <w:tr w:rsidR="00D42410" w:rsidRPr="00946E05" w14:paraId="2482BD26" w14:textId="77777777" w:rsidTr="00376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Merge/>
          </w:tcPr>
          <w:p w14:paraId="04D5EEFC" w14:textId="77777777" w:rsidR="009B5FCE" w:rsidRDefault="009B5FCE" w:rsidP="00020860">
            <w:pPr>
              <w:rPr>
                <w:rFonts w:ascii="Gadugi" w:hAnsi="Gadugi"/>
              </w:rPr>
            </w:pPr>
          </w:p>
        </w:tc>
        <w:tc>
          <w:tcPr>
            <w:tcW w:w="780" w:type="pct"/>
          </w:tcPr>
          <w:p w14:paraId="70E47332" w14:textId="4BEE022A" w:rsidR="009B5FCE" w:rsidRPr="00946E05" w:rsidRDefault="009B5FCE" w:rsidP="00020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Number varieties</w:t>
            </w:r>
          </w:p>
        </w:tc>
        <w:tc>
          <w:tcPr>
            <w:tcW w:w="1152" w:type="pct"/>
          </w:tcPr>
          <w:p w14:paraId="07244239" w14:textId="1FA59B65" w:rsidR="009B5FCE" w:rsidRPr="00946E05" w:rsidRDefault="009B5FCE" w:rsidP="00020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Few varieties</w:t>
            </w:r>
          </w:p>
        </w:tc>
        <w:tc>
          <w:tcPr>
            <w:tcW w:w="1008" w:type="pct"/>
          </w:tcPr>
          <w:p w14:paraId="150D3E54" w14:textId="1898AFD9" w:rsidR="009B5FCE" w:rsidRPr="00946E05" w:rsidRDefault="009B5FCE" w:rsidP="00020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Many varieties</w:t>
            </w:r>
          </w:p>
        </w:tc>
        <w:tc>
          <w:tcPr>
            <w:tcW w:w="669" w:type="pct"/>
          </w:tcPr>
          <w:p w14:paraId="381CEA24" w14:textId="62BF2363" w:rsidR="009B5FCE" w:rsidRPr="00946E05" w:rsidRDefault="009B5FCE" w:rsidP="00020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Few varieties</w:t>
            </w:r>
          </w:p>
        </w:tc>
        <w:tc>
          <w:tcPr>
            <w:tcW w:w="559" w:type="pct"/>
          </w:tcPr>
          <w:p w14:paraId="484F47CF" w14:textId="7080ADB3" w:rsidR="009B5FCE" w:rsidRPr="00946E05" w:rsidRDefault="009B5FCE" w:rsidP="00020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Many varieties</w:t>
            </w:r>
          </w:p>
        </w:tc>
      </w:tr>
      <w:tr w:rsidR="00D42410" w:rsidRPr="00946E05" w14:paraId="0C88717B" w14:textId="77777777" w:rsidTr="0037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pct"/>
            <w:gridSpan w:val="2"/>
          </w:tcPr>
          <w:p w14:paraId="4FC2DFE0" w14:textId="06C60139" w:rsidR="00D42410" w:rsidRPr="00946E05" w:rsidRDefault="00D42410" w:rsidP="00E36EA5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Name of design</w:t>
            </w:r>
          </w:p>
        </w:tc>
        <w:tc>
          <w:tcPr>
            <w:tcW w:w="1152" w:type="pct"/>
          </w:tcPr>
          <w:p w14:paraId="02137509" w14:textId="61299812" w:rsidR="00D42410" w:rsidRPr="00946E05" w:rsidRDefault="00D42410" w:rsidP="00E3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 w:rsidRPr="00946E05">
              <w:rPr>
                <w:rFonts w:ascii="Gadugi" w:hAnsi="Gadugi"/>
              </w:rPr>
              <w:t>Triadic design</w:t>
            </w:r>
          </w:p>
        </w:tc>
        <w:tc>
          <w:tcPr>
            <w:tcW w:w="1008" w:type="pct"/>
          </w:tcPr>
          <w:p w14:paraId="3F7D99E2" w14:textId="13BBCC06" w:rsidR="00D42410" w:rsidRPr="00946E05" w:rsidRDefault="00D42410" w:rsidP="00E3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 w:rsidRPr="00946E05">
              <w:rPr>
                <w:rFonts w:ascii="Gadugi" w:hAnsi="Gadugi"/>
              </w:rPr>
              <w:t>Regional/satellite farms design</w:t>
            </w:r>
          </w:p>
        </w:tc>
        <w:tc>
          <w:tcPr>
            <w:tcW w:w="669" w:type="pct"/>
          </w:tcPr>
          <w:p w14:paraId="5085551C" w14:textId="75DE5A38" w:rsidR="00D42410" w:rsidRPr="00946E05" w:rsidRDefault="00D42410" w:rsidP="00E3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Incomplete block design</w:t>
            </w:r>
          </w:p>
        </w:tc>
        <w:tc>
          <w:tcPr>
            <w:tcW w:w="559" w:type="pct"/>
          </w:tcPr>
          <w:p w14:paraId="261EF422" w14:textId="2C0C71A0" w:rsidR="00D42410" w:rsidRPr="00946E05" w:rsidRDefault="00D42410" w:rsidP="00E3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Fully replicated block design</w:t>
            </w:r>
          </w:p>
        </w:tc>
      </w:tr>
      <w:tr w:rsidR="00D42410" w:rsidRPr="00946E05" w14:paraId="79CE4EF7" w14:textId="05D742E0" w:rsidTr="00376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pct"/>
            <w:gridSpan w:val="2"/>
          </w:tcPr>
          <w:p w14:paraId="0F2532B0" w14:textId="11EB2D85" w:rsidR="00D42410" w:rsidRPr="00C409D9" w:rsidRDefault="00D42410" w:rsidP="00AD2BFC">
            <w:pPr>
              <w:rPr>
                <w:rFonts w:ascii="Gadugi" w:hAnsi="Gadugi"/>
              </w:rPr>
            </w:pPr>
            <w:r w:rsidRPr="00C409D9">
              <w:rPr>
                <w:rFonts w:ascii="Gadugi" w:hAnsi="Gadugi"/>
              </w:rPr>
              <w:t>Measures/protocols</w:t>
            </w:r>
          </w:p>
        </w:tc>
        <w:tc>
          <w:tcPr>
            <w:tcW w:w="1152" w:type="pct"/>
          </w:tcPr>
          <w:p w14:paraId="21164369" w14:textId="1FE84FB9" w:rsidR="00D42410" w:rsidRPr="00946E05" w:rsidRDefault="00D42410" w:rsidP="00AD2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 w:rsidRPr="00946E05">
              <w:rPr>
                <w:rFonts w:ascii="Gadugi" w:hAnsi="Gadugi"/>
              </w:rPr>
              <w:t>Ranking varieties</w:t>
            </w:r>
          </w:p>
        </w:tc>
        <w:tc>
          <w:tcPr>
            <w:tcW w:w="1008" w:type="pct"/>
          </w:tcPr>
          <w:p w14:paraId="6E24D2D5" w14:textId="0F0D6DD2" w:rsidR="00D42410" w:rsidRPr="00946E05" w:rsidRDefault="00D42410" w:rsidP="00AD2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Quantitative: </w:t>
            </w:r>
            <w:r w:rsidRPr="00946E05">
              <w:rPr>
                <w:rFonts w:ascii="Gadugi" w:hAnsi="Gadugi"/>
              </w:rPr>
              <w:t>Scoring (1-5 or 1-9) and measure</w:t>
            </w:r>
            <w:r>
              <w:rPr>
                <w:rFonts w:ascii="Gadugi" w:hAnsi="Gadugi"/>
              </w:rPr>
              <w:t>s of</w:t>
            </w:r>
            <w:r w:rsidRPr="00946E05">
              <w:rPr>
                <w:rFonts w:ascii="Gadugi" w:hAnsi="Gadugi"/>
              </w:rPr>
              <w:t xml:space="preserve"> </w:t>
            </w:r>
            <w:r>
              <w:rPr>
                <w:rFonts w:ascii="Gadugi" w:hAnsi="Gadugi"/>
              </w:rPr>
              <w:t>quantitative</w:t>
            </w:r>
            <w:r w:rsidRPr="00946E05">
              <w:rPr>
                <w:rFonts w:ascii="Gadugi" w:hAnsi="Gadugi"/>
              </w:rPr>
              <w:t xml:space="preserve"> traits</w:t>
            </w:r>
          </w:p>
        </w:tc>
        <w:tc>
          <w:tcPr>
            <w:tcW w:w="669" w:type="pct"/>
          </w:tcPr>
          <w:p w14:paraId="15B91E5B" w14:textId="4B616A3D" w:rsidR="00D42410" w:rsidRPr="00946E05" w:rsidRDefault="00D42410" w:rsidP="00AD2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measures of quantitative traits</w:t>
            </w:r>
          </w:p>
        </w:tc>
        <w:tc>
          <w:tcPr>
            <w:tcW w:w="559" w:type="pct"/>
          </w:tcPr>
          <w:p w14:paraId="2E2D3C9B" w14:textId="60F12862" w:rsidR="00D42410" w:rsidRPr="00946E05" w:rsidRDefault="00D42410" w:rsidP="00AD2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hAnsi="Gadugi"/>
              </w:rPr>
              <w:t>Measures of quantitative traits</w:t>
            </w:r>
          </w:p>
        </w:tc>
      </w:tr>
    </w:tbl>
    <w:p w14:paraId="64584DF0" w14:textId="77777777" w:rsidR="00915516" w:rsidRPr="00020860" w:rsidRDefault="00915516" w:rsidP="00020860">
      <w:pPr>
        <w:ind w:left="360"/>
        <w:rPr>
          <w:rFonts w:ascii="Gadugi" w:hAnsi="Gadugi"/>
          <w:color w:val="EE0000"/>
        </w:rPr>
      </w:pPr>
    </w:p>
    <w:p w14:paraId="4C5E7657" w14:textId="77777777" w:rsidR="00E75745" w:rsidRPr="00E75745" w:rsidRDefault="00E75745">
      <w:pPr>
        <w:rPr>
          <w:rFonts w:ascii="Gadugi" w:hAnsi="Gadugi"/>
        </w:rPr>
      </w:pPr>
    </w:p>
    <w:sectPr w:rsidR="00E75745" w:rsidRPr="00E75745" w:rsidSect="00395B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56CA"/>
    <w:multiLevelType w:val="hybridMultilevel"/>
    <w:tmpl w:val="95D0D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0E90"/>
    <w:multiLevelType w:val="hybridMultilevel"/>
    <w:tmpl w:val="9B521FC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C07BB8"/>
    <w:multiLevelType w:val="multilevel"/>
    <w:tmpl w:val="0E86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173412">
    <w:abstractNumId w:val="0"/>
  </w:num>
  <w:num w:numId="2" w16cid:durableId="1653950196">
    <w:abstractNumId w:val="1"/>
  </w:num>
  <w:num w:numId="3" w16cid:durableId="904993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5"/>
    <w:rsid w:val="00004F57"/>
    <w:rsid w:val="00010F51"/>
    <w:rsid w:val="0001187D"/>
    <w:rsid w:val="00020860"/>
    <w:rsid w:val="00030D78"/>
    <w:rsid w:val="00031B79"/>
    <w:rsid w:val="000613DB"/>
    <w:rsid w:val="0008475F"/>
    <w:rsid w:val="000E03DD"/>
    <w:rsid w:val="00144AC0"/>
    <w:rsid w:val="0018238E"/>
    <w:rsid w:val="001C173D"/>
    <w:rsid w:val="001C2A39"/>
    <w:rsid w:val="001D6045"/>
    <w:rsid w:val="001E6821"/>
    <w:rsid w:val="0025162A"/>
    <w:rsid w:val="002558DC"/>
    <w:rsid w:val="002849B6"/>
    <w:rsid w:val="002B2F76"/>
    <w:rsid w:val="002C73EA"/>
    <w:rsid w:val="002D30A2"/>
    <w:rsid w:val="00317E07"/>
    <w:rsid w:val="00334639"/>
    <w:rsid w:val="00355C8C"/>
    <w:rsid w:val="00370E27"/>
    <w:rsid w:val="00372E0F"/>
    <w:rsid w:val="003766F5"/>
    <w:rsid w:val="00390C05"/>
    <w:rsid w:val="00395BF3"/>
    <w:rsid w:val="003A65D8"/>
    <w:rsid w:val="003C3946"/>
    <w:rsid w:val="0048419C"/>
    <w:rsid w:val="004A2E6B"/>
    <w:rsid w:val="004D5BB6"/>
    <w:rsid w:val="005137D1"/>
    <w:rsid w:val="00525316"/>
    <w:rsid w:val="00545852"/>
    <w:rsid w:val="00571CC4"/>
    <w:rsid w:val="005B3DED"/>
    <w:rsid w:val="005C7165"/>
    <w:rsid w:val="005D6DA3"/>
    <w:rsid w:val="005F4540"/>
    <w:rsid w:val="005F76E1"/>
    <w:rsid w:val="00601D8A"/>
    <w:rsid w:val="006023C5"/>
    <w:rsid w:val="00655FE7"/>
    <w:rsid w:val="006D0AE0"/>
    <w:rsid w:val="006D55D4"/>
    <w:rsid w:val="006F19A3"/>
    <w:rsid w:val="006F76F8"/>
    <w:rsid w:val="007A1116"/>
    <w:rsid w:val="007A7FCA"/>
    <w:rsid w:val="007D60A1"/>
    <w:rsid w:val="0086601B"/>
    <w:rsid w:val="00895640"/>
    <w:rsid w:val="008A74B5"/>
    <w:rsid w:val="008E4E68"/>
    <w:rsid w:val="00913713"/>
    <w:rsid w:val="00915516"/>
    <w:rsid w:val="00917B54"/>
    <w:rsid w:val="009303CA"/>
    <w:rsid w:val="00946E05"/>
    <w:rsid w:val="0099331A"/>
    <w:rsid w:val="009B3BA6"/>
    <w:rsid w:val="009B5FCE"/>
    <w:rsid w:val="009E66D9"/>
    <w:rsid w:val="00A02CA9"/>
    <w:rsid w:val="00A10411"/>
    <w:rsid w:val="00A16E13"/>
    <w:rsid w:val="00A21669"/>
    <w:rsid w:val="00A42364"/>
    <w:rsid w:val="00A51FD0"/>
    <w:rsid w:val="00A64F9D"/>
    <w:rsid w:val="00A90042"/>
    <w:rsid w:val="00A95769"/>
    <w:rsid w:val="00AA115A"/>
    <w:rsid w:val="00AB00C2"/>
    <w:rsid w:val="00AD2BFC"/>
    <w:rsid w:val="00B14C4E"/>
    <w:rsid w:val="00B2532C"/>
    <w:rsid w:val="00B4352E"/>
    <w:rsid w:val="00B551B7"/>
    <w:rsid w:val="00BA7B15"/>
    <w:rsid w:val="00BF3894"/>
    <w:rsid w:val="00C01E37"/>
    <w:rsid w:val="00C27D95"/>
    <w:rsid w:val="00C409D9"/>
    <w:rsid w:val="00C83323"/>
    <w:rsid w:val="00C92D1C"/>
    <w:rsid w:val="00CB02F8"/>
    <w:rsid w:val="00CC18F0"/>
    <w:rsid w:val="00CC1915"/>
    <w:rsid w:val="00CC3BFD"/>
    <w:rsid w:val="00CC6A78"/>
    <w:rsid w:val="00CD24E5"/>
    <w:rsid w:val="00D20057"/>
    <w:rsid w:val="00D27D17"/>
    <w:rsid w:val="00D42217"/>
    <w:rsid w:val="00D42410"/>
    <w:rsid w:val="00D56FCA"/>
    <w:rsid w:val="00D9460A"/>
    <w:rsid w:val="00E168B3"/>
    <w:rsid w:val="00E169CD"/>
    <w:rsid w:val="00E204E5"/>
    <w:rsid w:val="00E3467A"/>
    <w:rsid w:val="00E352D6"/>
    <w:rsid w:val="00E35437"/>
    <w:rsid w:val="00E36EA5"/>
    <w:rsid w:val="00E41EE4"/>
    <w:rsid w:val="00E51D31"/>
    <w:rsid w:val="00E56DFB"/>
    <w:rsid w:val="00E656F0"/>
    <w:rsid w:val="00E74344"/>
    <w:rsid w:val="00E75745"/>
    <w:rsid w:val="00E80BBE"/>
    <w:rsid w:val="00E919F3"/>
    <w:rsid w:val="00EC0B22"/>
    <w:rsid w:val="00F0254D"/>
    <w:rsid w:val="00F05B21"/>
    <w:rsid w:val="00F06B69"/>
    <w:rsid w:val="00F26A83"/>
    <w:rsid w:val="00F86450"/>
    <w:rsid w:val="00FC2F68"/>
    <w:rsid w:val="00FC5924"/>
    <w:rsid w:val="00FE1F4F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F2A04"/>
  <w15:chartTrackingRefBased/>
  <w15:docId w15:val="{3D156D35-3E54-4C5B-99F4-5047B4B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7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21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2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3766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01E3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b81b3-18ad-40cd-af73-8111099fc7b4" xsi:nil="true"/>
    <lcf76f155ced4ddcb4097134ff3c332f xmlns="eb60981e-7967-477b-a256-a0169803d8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24179-08C2-4851-9269-F5477FDEA012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customXml/itemProps2.xml><?xml version="1.0" encoding="utf-8"?>
<ds:datastoreItem xmlns:ds="http://schemas.openxmlformats.org/officeDocument/2006/customXml" ds:itemID="{7D3C582F-7110-475D-9984-903C91379B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98181-6B60-440E-8A0B-7A240244DBB0}"/>
</file>

<file path=customXml/itemProps4.xml><?xml version="1.0" encoding="utf-8"?>
<ds:datastoreItem xmlns:ds="http://schemas.openxmlformats.org/officeDocument/2006/customXml" ds:itemID="{7AA47871-0A1F-4211-B7E0-C9547F345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718</Words>
  <Characters>4064</Characters>
  <Application>Microsoft Office Word</Application>
  <DocSecurity>0</DocSecurity>
  <Lines>131</Lines>
  <Paragraphs>82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82</cp:revision>
  <dcterms:created xsi:type="dcterms:W3CDTF">2025-07-24T09:11:00Z</dcterms:created>
  <dcterms:modified xsi:type="dcterms:W3CDTF">2025-07-31T11:00:00Z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c840b727-e882-4778-a19d-9f8e0041e190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