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FD40" w14:textId="77777777" w:rsidR="00954CC0" w:rsidRPr="00757BC5" w:rsidRDefault="00043AF9" w:rsidP="00954CC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757BC5">
        <w:rPr>
          <w:rFonts w:ascii="Times New Roman" w:hAnsi="Times New Roman" w:cs="Times New Roman"/>
          <w:sz w:val="28"/>
          <w:szCs w:val="28"/>
          <w:lang w:val="en-US"/>
        </w:rPr>
        <w:t xml:space="preserve">Effect of </w:t>
      </w:r>
      <w:r w:rsidR="00FA4807">
        <w:rPr>
          <w:rFonts w:ascii="Times New Roman" w:hAnsi="Times New Roman" w:cs="Times New Roman"/>
          <w:sz w:val="28"/>
          <w:szCs w:val="28"/>
          <w:lang w:val="en-US"/>
        </w:rPr>
        <w:t xml:space="preserve">dietary </w:t>
      </w:r>
      <w:r w:rsidRPr="00757BC5">
        <w:rPr>
          <w:rFonts w:ascii="Times New Roman" w:hAnsi="Times New Roman" w:cs="Times New Roman"/>
          <w:sz w:val="28"/>
          <w:szCs w:val="28"/>
          <w:lang w:val="en-US"/>
        </w:rPr>
        <w:t>protein level</w:t>
      </w:r>
      <w:r w:rsidR="00DE3289" w:rsidRPr="00757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59A" w:rsidRPr="00757BC5">
        <w:rPr>
          <w:rFonts w:ascii="Times New Roman" w:hAnsi="Times New Roman" w:cs="Times New Roman"/>
          <w:sz w:val="28"/>
          <w:szCs w:val="28"/>
          <w:lang w:val="en-US"/>
        </w:rPr>
        <w:t>on milk yield, milk compo</w:t>
      </w:r>
      <w:r w:rsidR="00DE3289" w:rsidRPr="00757BC5">
        <w:rPr>
          <w:rFonts w:ascii="Times New Roman" w:hAnsi="Times New Roman" w:cs="Times New Roman"/>
          <w:sz w:val="28"/>
          <w:szCs w:val="28"/>
          <w:lang w:val="en-US"/>
        </w:rPr>
        <w:t>sition and blood metabolites in</w:t>
      </w:r>
      <w:r w:rsidR="0049459A" w:rsidRPr="00757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2E3F" w:rsidRPr="00757BC5">
        <w:rPr>
          <w:rFonts w:ascii="Times New Roman" w:hAnsi="Times New Roman" w:cs="Times New Roman"/>
          <w:sz w:val="28"/>
          <w:szCs w:val="28"/>
          <w:lang w:val="en-US"/>
        </w:rPr>
        <w:t xml:space="preserve">organic </w:t>
      </w:r>
      <w:r w:rsidR="0049459A" w:rsidRPr="00757BC5">
        <w:rPr>
          <w:rFonts w:ascii="Times New Roman" w:hAnsi="Times New Roman" w:cs="Times New Roman"/>
          <w:sz w:val="28"/>
          <w:szCs w:val="28"/>
          <w:lang w:val="en-US"/>
        </w:rPr>
        <w:t>sows</w:t>
      </w:r>
      <w:r w:rsidR="00FD259D" w:rsidRPr="00757BC5">
        <w:rPr>
          <w:rFonts w:ascii="Times New Roman" w:hAnsi="Times New Roman" w:cs="Times New Roman"/>
          <w:sz w:val="28"/>
          <w:szCs w:val="28"/>
          <w:lang w:val="en-US"/>
        </w:rPr>
        <w:t xml:space="preserve"> on pasture</w:t>
      </w:r>
      <w:r w:rsidRPr="00757BC5">
        <w:rPr>
          <w:rFonts w:ascii="Times New Roman" w:hAnsi="Times New Roman" w:cs="Times New Roman"/>
          <w:sz w:val="28"/>
          <w:szCs w:val="28"/>
          <w:lang w:val="en-US"/>
        </w:rPr>
        <w:t xml:space="preserve"> summer and winter</w:t>
      </w:r>
    </w:p>
    <w:p w14:paraId="5264785C" w14:textId="77777777" w:rsidR="00476360" w:rsidRPr="00757BC5" w:rsidRDefault="00476360" w:rsidP="00954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36A41DA" w14:textId="75137EF0" w:rsidR="004A4714" w:rsidRPr="00C63CA8" w:rsidRDefault="004A4714" w:rsidP="00954CC0">
      <w:pPr>
        <w:rPr>
          <w:rFonts w:ascii="Times New Roman" w:hAnsi="Times New Roman" w:cs="Times New Roman"/>
          <w:sz w:val="24"/>
          <w:szCs w:val="24"/>
        </w:rPr>
      </w:pPr>
      <w:r w:rsidRPr="00C63CA8">
        <w:rPr>
          <w:rFonts w:ascii="Times New Roman" w:hAnsi="Times New Roman" w:cs="Times New Roman"/>
          <w:sz w:val="24"/>
          <w:szCs w:val="24"/>
        </w:rPr>
        <w:t xml:space="preserve">M. Eskildsen*, D. </w:t>
      </w:r>
      <w:r w:rsidR="00477534" w:rsidRPr="00C63CA8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C63CA8">
        <w:rPr>
          <w:rFonts w:ascii="Times New Roman" w:hAnsi="Times New Roman" w:cs="Times New Roman"/>
          <w:sz w:val="24"/>
          <w:szCs w:val="24"/>
        </w:rPr>
        <w:t>Sampego</w:t>
      </w:r>
      <w:proofErr w:type="spellEnd"/>
      <w:r w:rsidRPr="00C63CA8">
        <w:rPr>
          <w:rFonts w:ascii="Times New Roman" w:hAnsi="Times New Roman" w:cs="Times New Roman"/>
          <w:sz w:val="24"/>
          <w:szCs w:val="24"/>
        </w:rPr>
        <w:t>, U. Krogh</w:t>
      </w:r>
      <w:r w:rsidR="00AC44FB" w:rsidRPr="00C63CA8">
        <w:rPr>
          <w:rFonts w:ascii="Times New Roman" w:hAnsi="Times New Roman" w:cs="Times New Roman"/>
          <w:sz w:val="24"/>
          <w:szCs w:val="24"/>
        </w:rPr>
        <w:t xml:space="preserve">, T. </w:t>
      </w:r>
      <w:r w:rsidR="00497A0E" w:rsidRPr="00C63CA8">
        <w:rPr>
          <w:rFonts w:ascii="Times New Roman" w:hAnsi="Times New Roman" w:cs="Times New Roman"/>
          <w:sz w:val="24"/>
          <w:szCs w:val="24"/>
        </w:rPr>
        <w:t>Larsen</w:t>
      </w:r>
      <w:r w:rsidRPr="00C63CA8">
        <w:rPr>
          <w:rFonts w:ascii="Times New Roman" w:hAnsi="Times New Roman" w:cs="Times New Roman"/>
          <w:sz w:val="24"/>
          <w:szCs w:val="24"/>
        </w:rPr>
        <w:t xml:space="preserve"> and P. Theil</w:t>
      </w:r>
    </w:p>
    <w:p w14:paraId="4E6D3FA1" w14:textId="77777777" w:rsidR="003D01C8" w:rsidRPr="00757BC5" w:rsidRDefault="004A4714" w:rsidP="00954CC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Department of Molecular Nutrition and Reproduction, Institute of Animal Science, Aarhus University, </w:t>
      </w:r>
      <w:proofErr w:type="spellStart"/>
      <w:r w:rsidRPr="00757BC5">
        <w:rPr>
          <w:rFonts w:ascii="Times New Roman" w:hAnsi="Times New Roman" w:cs="Times New Roman"/>
          <w:sz w:val="24"/>
          <w:szCs w:val="24"/>
          <w:lang w:val="en-US"/>
        </w:rPr>
        <w:t>Blichersalle</w:t>
      </w:r>
      <w:proofErr w:type="spellEnd"/>
      <w:r w:rsidR="00477534" w:rsidRPr="00757BC5">
        <w:rPr>
          <w:rFonts w:ascii="Times New Roman" w:hAnsi="Times New Roman" w:cs="Times New Roman"/>
          <w:sz w:val="24"/>
          <w:szCs w:val="24"/>
          <w:lang w:val="en-US"/>
        </w:rPr>
        <w:t>´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20, 8830 Denmark; </w:t>
      </w:r>
      <w:hyperlink r:id="rId4" w:history="1">
        <w:r w:rsidR="00476360" w:rsidRPr="00757BC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Maria.Eskildsen@anis.au.dk</w:t>
        </w:r>
      </w:hyperlink>
    </w:p>
    <w:p w14:paraId="502EF202" w14:textId="77777777" w:rsidR="00476360" w:rsidRPr="00757BC5" w:rsidRDefault="00476360" w:rsidP="00954CC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070D7F" w14:textId="77777777" w:rsidR="00477534" w:rsidRPr="00757BC5" w:rsidRDefault="00477534" w:rsidP="00954C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7BC5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0D9D81A7" w14:textId="38120672" w:rsidR="004333E6" w:rsidRPr="00757BC5" w:rsidRDefault="00D02495" w:rsidP="004333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7BC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F55C7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rmal </w:t>
      </w:r>
      <w:r w:rsidR="00143CC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F55C7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low protein level was </w:t>
      </w:r>
      <w:r w:rsidR="00FD259D" w:rsidRPr="00757BC5">
        <w:rPr>
          <w:rFonts w:ascii="Times New Roman" w:hAnsi="Times New Roman" w:cs="Times New Roman"/>
          <w:sz w:val="24"/>
          <w:szCs w:val="24"/>
          <w:lang w:val="en-US"/>
        </w:rPr>
        <w:t>tested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in 47 organic </w:t>
      </w:r>
      <w:proofErr w:type="gramStart"/>
      <w:r w:rsidRPr="00757B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57B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gramEnd"/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and 2</w:t>
      </w:r>
      <w:r w:rsidRPr="00757B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parity sows</w:t>
      </w:r>
      <w:r w:rsidR="00FD259D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59A" w:rsidRPr="00757BC5">
        <w:rPr>
          <w:rFonts w:ascii="Times New Roman" w:hAnsi="Times New Roman" w:cs="Times New Roman"/>
          <w:sz w:val="24"/>
          <w:szCs w:val="24"/>
          <w:lang w:val="en-US"/>
        </w:rPr>
        <w:t>in summer and winter under Danish w</w:t>
      </w:r>
      <w:r w:rsidR="003D01C8" w:rsidRPr="00757BC5">
        <w:rPr>
          <w:rFonts w:ascii="Times New Roman" w:hAnsi="Times New Roman" w:cs="Times New Roman"/>
          <w:sz w:val="24"/>
          <w:szCs w:val="24"/>
          <w:lang w:val="en-US"/>
        </w:rPr>
        <w:t>eather conditions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54CC0" w:rsidRPr="00757BC5">
        <w:rPr>
          <w:rFonts w:ascii="Times New Roman" w:hAnsi="Times New Roman" w:cs="Times New Roman"/>
          <w:sz w:val="24"/>
          <w:szCs w:val="24"/>
          <w:lang w:val="en-US"/>
        </w:rPr>
        <w:t>There were no differences be</w:t>
      </w:r>
      <w:r w:rsidR="00757BC5" w:rsidRPr="00757BC5">
        <w:rPr>
          <w:rFonts w:ascii="Times New Roman" w:hAnsi="Times New Roman" w:cs="Times New Roman"/>
          <w:sz w:val="24"/>
          <w:szCs w:val="24"/>
          <w:lang w:val="en-US"/>
        </w:rPr>
        <w:t>tween the two dietary regimens o</w:t>
      </w:r>
      <w:r w:rsidR="00954CC0" w:rsidRPr="00757B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658DB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milk yield, milk composition or blood metabolites</w:t>
      </w:r>
      <w:r w:rsidR="00954CC0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(P&gt;0.0</w:t>
      </w:r>
      <w:r w:rsidR="00DE3289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5). In contrast, </w:t>
      </w:r>
      <w:r w:rsidR="00FA4807">
        <w:rPr>
          <w:rFonts w:ascii="Times New Roman" w:hAnsi="Times New Roman" w:cs="Times New Roman"/>
          <w:sz w:val="24"/>
          <w:szCs w:val="24"/>
          <w:lang w:val="en-US"/>
        </w:rPr>
        <w:t>sow performance was higher</w:t>
      </w:r>
      <w:r w:rsidR="00FA4807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4CC0" w:rsidRPr="00757BC5">
        <w:rPr>
          <w:rFonts w:ascii="Times New Roman" w:hAnsi="Times New Roman" w:cs="Times New Roman"/>
          <w:sz w:val="24"/>
          <w:szCs w:val="24"/>
          <w:lang w:val="en-US"/>
        </w:rPr>
        <w:t>during summer than in wint</w:t>
      </w:r>
      <w:r w:rsidR="00FC732B" w:rsidRPr="00757BC5">
        <w:rPr>
          <w:rFonts w:ascii="Times New Roman" w:hAnsi="Times New Roman" w:cs="Times New Roman"/>
          <w:sz w:val="24"/>
          <w:szCs w:val="24"/>
          <w:lang w:val="en-US"/>
        </w:rPr>
        <w:t>er (P&lt;</w:t>
      </w:r>
      <w:r w:rsidR="00497A0E">
        <w:rPr>
          <w:rFonts w:ascii="Times New Roman" w:hAnsi="Times New Roman" w:cs="Times New Roman"/>
          <w:sz w:val="24"/>
          <w:szCs w:val="24"/>
          <w:lang w:val="en-US"/>
        </w:rPr>
        <w:t>.001</w:t>
      </w:r>
      <w:r w:rsidR="00FC732B" w:rsidRPr="00757BC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AC44F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139F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asein concentration was greater (P=0.01) and protein concentrations tended to be higher (P=0.10) in milk from sows fed with </w:t>
      </w:r>
      <w:r w:rsidR="002733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139F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P diet than the LP diet. </w:t>
      </w:r>
      <w:r w:rsidR="004333E6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43CC6">
        <w:rPr>
          <w:rFonts w:ascii="Times New Roman" w:hAnsi="Times New Roman" w:cs="Times New Roman"/>
          <w:sz w:val="24"/>
          <w:szCs w:val="24"/>
          <w:lang w:val="en-US"/>
        </w:rPr>
        <w:t>conclusion, a 13</w:t>
      </w:r>
      <w:r w:rsidR="00043AF9" w:rsidRPr="00757BC5">
        <w:rPr>
          <w:rFonts w:ascii="Times New Roman" w:hAnsi="Times New Roman" w:cs="Times New Roman"/>
          <w:sz w:val="24"/>
          <w:szCs w:val="24"/>
          <w:lang w:val="en-US"/>
        </w:rPr>
        <w:t>% lower protein level</w:t>
      </w:r>
      <w:r w:rsidR="004333E6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did not impair sow perfo</w:t>
      </w:r>
      <w:r w:rsidR="00043AF9" w:rsidRPr="00757BC5">
        <w:rPr>
          <w:rFonts w:ascii="Times New Roman" w:hAnsi="Times New Roman" w:cs="Times New Roman"/>
          <w:sz w:val="24"/>
          <w:szCs w:val="24"/>
          <w:lang w:val="en-US"/>
        </w:rPr>
        <w:t>rmance, milk composition or blood metabolites</w:t>
      </w:r>
      <w:r w:rsidR="00DE3289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, when sows </w:t>
      </w:r>
      <w:r w:rsidR="00FA4807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043AF9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fed </w:t>
      </w:r>
      <w:proofErr w:type="spellStart"/>
      <w:r w:rsidR="00043AF9" w:rsidRPr="00757BC5">
        <w:rPr>
          <w:rFonts w:ascii="Times New Roman" w:hAnsi="Times New Roman" w:cs="Times New Roman"/>
          <w:sz w:val="24"/>
          <w:szCs w:val="24"/>
          <w:lang w:val="en-US"/>
        </w:rPr>
        <w:t>iso</w:t>
      </w:r>
      <w:proofErr w:type="spellEnd"/>
      <w:r w:rsidR="00043AF9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-energetic </w:t>
      </w:r>
      <w:r w:rsidR="006A7FB9">
        <w:rPr>
          <w:rFonts w:ascii="Times New Roman" w:hAnsi="Times New Roman" w:cs="Times New Roman"/>
          <w:sz w:val="24"/>
          <w:szCs w:val="24"/>
          <w:lang w:val="en-US"/>
        </w:rPr>
        <w:t xml:space="preserve">(ME) </w:t>
      </w:r>
      <w:r w:rsidR="00043AF9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concentrate </w:t>
      </w:r>
      <w:r w:rsidR="00FA480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E3289" w:rsidRPr="00757BC5">
        <w:rPr>
          <w:rFonts w:ascii="Times New Roman" w:hAnsi="Times New Roman" w:cs="Times New Roman"/>
          <w:sz w:val="24"/>
          <w:szCs w:val="24"/>
          <w:lang w:val="en-US"/>
        </w:rPr>
        <w:t>had ad libitum a</w:t>
      </w:r>
      <w:r w:rsidR="004333E6" w:rsidRPr="00757BC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43592">
        <w:rPr>
          <w:rFonts w:ascii="Times New Roman" w:hAnsi="Times New Roman" w:cs="Times New Roman"/>
          <w:sz w:val="24"/>
          <w:szCs w:val="24"/>
          <w:lang w:val="en-US"/>
        </w:rPr>
        <w:t>cess</w:t>
      </w:r>
      <w:r w:rsidR="004333E6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to fresh clover grass</w:t>
      </w:r>
      <w:r w:rsidR="00FA4807">
        <w:rPr>
          <w:rFonts w:ascii="Times New Roman" w:hAnsi="Times New Roman" w:cs="Times New Roman"/>
          <w:sz w:val="24"/>
          <w:szCs w:val="24"/>
          <w:lang w:val="en-US"/>
        </w:rPr>
        <w:t xml:space="preserve"> during summer and </w:t>
      </w:r>
      <w:r w:rsidR="004333E6" w:rsidRPr="00757BC5">
        <w:rPr>
          <w:rFonts w:ascii="Times New Roman" w:hAnsi="Times New Roman" w:cs="Times New Roman"/>
          <w:sz w:val="24"/>
          <w:szCs w:val="24"/>
          <w:lang w:val="en-US"/>
        </w:rPr>
        <w:t>grass silage</w:t>
      </w:r>
      <w:r w:rsidR="00043AF9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807">
        <w:rPr>
          <w:rFonts w:ascii="Times New Roman" w:hAnsi="Times New Roman" w:cs="Times New Roman"/>
          <w:sz w:val="24"/>
          <w:szCs w:val="24"/>
          <w:lang w:val="en-US"/>
        </w:rPr>
        <w:t>during winter</w:t>
      </w:r>
      <w:r w:rsidR="004333E6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E83A634" w14:textId="77777777" w:rsidR="00D02495" w:rsidRPr="00757BC5" w:rsidRDefault="00D02495" w:rsidP="00954CC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8BFE1E" w14:textId="63EEC8C5" w:rsidR="00477534" w:rsidRPr="00757BC5" w:rsidRDefault="00477534" w:rsidP="00954C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7BC5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:  energy, clover grass, </w:t>
      </w:r>
      <w:r w:rsidR="00177807">
        <w:rPr>
          <w:rFonts w:ascii="Times New Roman" w:hAnsi="Times New Roman" w:cs="Times New Roman"/>
          <w:sz w:val="24"/>
          <w:szCs w:val="24"/>
          <w:lang w:val="en-US"/>
        </w:rPr>
        <w:t xml:space="preserve">silage, </w:t>
      </w:r>
      <w:proofErr w:type="gramStart"/>
      <w:r w:rsidRPr="00757BC5">
        <w:rPr>
          <w:rFonts w:ascii="Times New Roman" w:hAnsi="Times New Roman" w:cs="Times New Roman"/>
          <w:sz w:val="24"/>
          <w:szCs w:val="24"/>
          <w:lang w:val="en-US"/>
        </w:rPr>
        <w:t>sow performance</w:t>
      </w:r>
      <w:proofErr w:type="gramEnd"/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757BC5">
        <w:rPr>
          <w:rFonts w:ascii="Times New Roman" w:hAnsi="Times New Roman" w:cs="Times New Roman"/>
          <w:sz w:val="24"/>
          <w:szCs w:val="24"/>
          <w:lang w:val="en-US"/>
        </w:rPr>
        <w:t>season</w:t>
      </w:r>
      <w:proofErr w:type="gramEnd"/>
    </w:p>
    <w:p w14:paraId="54A0AE06" w14:textId="77777777" w:rsidR="00476360" w:rsidRPr="00757BC5" w:rsidRDefault="00476360" w:rsidP="00954CC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40EFF3" w14:textId="77777777" w:rsidR="00F93724" w:rsidRPr="00757BC5" w:rsidRDefault="00477534" w:rsidP="00954C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7B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Introduction: </w:t>
      </w:r>
    </w:p>
    <w:p w14:paraId="5D4219F6" w14:textId="76C13B47" w:rsidR="00477534" w:rsidRPr="00757BC5" w:rsidRDefault="00F93724" w:rsidP="00954C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Organic sows </w:t>
      </w:r>
      <w:proofErr w:type="gramStart"/>
      <w:r w:rsidRPr="00757BC5">
        <w:rPr>
          <w:rFonts w:ascii="Times New Roman" w:hAnsi="Times New Roman" w:cs="Times New Roman"/>
          <w:sz w:val="24"/>
          <w:szCs w:val="24"/>
          <w:lang w:val="en-US"/>
        </w:rPr>
        <w:t>are exposed</w:t>
      </w:r>
      <w:proofErr w:type="gramEnd"/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to a</w:t>
      </w:r>
      <w:r w:rsidR="00315787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wide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range of changes in the environmental condi</w:t>
      </w:r>
      <w:r w:rsidR="00315787" w:rsidRPr="00757BC5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="00DE3289" w:rsidRPr="00757B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5787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5787" w:rsidRPr="00757BC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6A7FB9">
        <w:rPr>
          <w:rFonts w:ascii="Times New Roman" w:hAnsi="Times New Roman" w:cs="Times New Roman"/>
          <w:sz w:val="24"/>
          <w:szCs w:val="24"/>
          <w:lang w:val="en-US"/>
        </w:rPr>
        <w:t>photoperiod</w:t>
      </w:r>
      <w:proofErr w:type="gramEnd"/>
      <w:r w:rsidR="006A7FB9">
        <w:rPr>
          <w:rFonts w:ascii="Times New Roman" w:hAnsi="Times New Roman" w:cs="Times New Roman"/>
          <w:sz w:val="24"/>
          <w:szCs w:val="24"/>
          <w:lang w:val="en-US"/>
        </w:rPr>
        <w:t>, thermoregulation</w:t>
      </w:r>
      <w:r w:rsidR="00315787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>locomotive activity</w:t>
      </w:r>
      <w:r w:rsidR="005607FB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and grass/roughage intake</w:t>
      </w:r>
      <w:r w:rsidR="00315787" w:rsidRPr="00757B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>Recomme</w:t>
      </w:r>
      <w:r w:rsidR="005607FB" w:rsidRPr="00757BC5">
        <w:rPr>
          <w:rFonts w:ascii="Times New Roman" w:hAnsi="Times New Roman" w:cs="Times New Roman"/>
          <w:sz w:val="24"/>
          <w:szCs w:val="24"/>
          <w:lang w:val="en-US"/>
        </w:rPr>
        <w:t>ndation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607FB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6A7FB9">
        <w:rPr>
          <w:rFonts w:ascii="Times New Roman" w:hAnsi="Times New Roman" w:cs="Times New Roman"/>
          <w:sz w:val="24"/>
          <w:szCs w:val="24"/>
          <w:lang w:val="en-US"/>
        </w:rPr>
        <w:t xml:space="preserve">organic </w:t>
      </w:r>
      <w:r w:rsidR="005607FB" w:rsidRPr="00757BC5">
        <w:rPr>
          <w:rFonts w:ascii="Times New Roman" w:hAnsi="Times New Roman" w:cs="Times New Roman"/>
          <w:sz w:val="24"/>
          <w:szCs w:val="24"/>
          <w:lang w:val="en-US"/>
        </w:rPr>
        <w:t>sow</w:t>
      </w:r>
      <w:r w:rsidR="00C91E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607FB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607FB" w:rsidRPr="00757BC5">
        <w:rPr>
          <w:rFonts w:ascii="Times New Roman" w:hAnsi="Times New Roman" w:cs="Times New Roman"/>
          <w:sz w:val="24"/>
          <w:szCs w:val="24"/>
          <w:lang w:val="en-US"/>
        </w:rPr>
        <w:t>are based</w:t>
      </w:r>
      <w:proofErr w:type="gramEnd"/>
      <w:r w:rsidR="005607FB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C91E92">
        <w:rPr>
          <w:rFonts w:ascii="Times New Roman" w:hAnsi="Times New Roman" w:cs="Times New Roman"/>
          <w:sz w:val="24"/>
          <w:szCs w:val="24"/>
          <w:lang w:val="en-US"/>
        </w:rPr>
        <w:t xml:space="preserve">knowledge obtained for </w:t>
      </w:r>
      <w:r w:rsidR="006A7FB9">
        <w:rPr>
          <w:rFonts w:ascii="Times New Roman" w:hAnsi="Times New Roman" w:cs="Times New Roman"/>
          <w:sz w:val="24"/>
          <w:szCs w:val="24"/>
          <w:lang w:val="en-US"/>
        </w:rPr>
        <w:t xml:space="preserve">conventional </w:t>
      </w:r>
      <w:r w:rsidR="00C91E92">
        <w:rPr>
          <w:rFonts w:ascii="Times New Roman" w:hAnsi="Times New Roman" w:cs="Times New Roman"/>
          <w:sz w:val="24"/>
          <w:szCs w:val="24"/>
          <w:lang w:val="en-US"/>
        </w:rPr>
        <w:t>sows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607FB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>an adjustment on the protein to energy ratio in organic</w:t>
      </w:r>
      <w:r w:rsidR="004139FF">
        <w:rPr>
          <w:rFonts w:ascii="Times New Roman" w:hAnsi="Times New Roman" w:cs="Times New Roman"/>
          <w:sz w:val="24"/>
          <w:szCs w:val="24"/>
          <w:lang w:val="en-US"/>
        </w:rPr>
        <w:t xml:space="preserve"> sow diets c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ould </w:t>
      </w:r>
      <w:r w:rsidR="00757BC5">
        <w:rPr>
          <w:rFonts w:ascii="Times New Roman" w:hAnsi="Times New Roman" w:cs="Times New Roman"/>
          <w:sz w:val="24"/>
          <w:szCs w:val="24"/>
          <w:lang w:val="en-US"/>
        </w:rPr>
        <w:t xml:space="preserve">be considered to </w:t>
      </w:r>
      <w:r w:rsidR="00C91E92">
        <w:rPr>
          <w:rFonts w:ascii="Times New Roman" w:hAnsi="Times New Roman" w:cs="Times New Roman"/>
          <w:sz w:val="24"/>
          <w:szCs w:val="24"/>
          <w:lang w:val="en-US"/>
        </w:rPr>
        <w:t xml:space="preserve">match 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>the demand of nut</w:t>
      </w:r>
      <w:r w:rsidR="00757BC5">
        <w:rPr>
          <w:rFonts w:ascii="Times New Roman" w:hAnsi="Times New Roman" w:cs="Times New Roman"/>
          <w:sz w:val="24"/>
          <w:szCs w:val="24"/>
          <w:lang w:val="en-US"/>
        </w:rPr>
        <w:t xml:space="preserve">rients for thermoregulation and 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>physical ac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>tivity</w:t>
      </w:r>
      <w:r w:rsidR="00043AF9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and to reduc</w:t>
      </w:r>
      <w:r w:rsidR="00EB5368" w:rsidRPr="00757BC5">
        <w:rPr>
          <w:rFonts w:ascii="Times New Roman" w:hAnsi="Times New Roman" w:cs="Times New Roman"/>
          <w:sz w:val="24"/>
          <w:szCs w:val="24"/>
          <w:lang w:val="en-US"/>
        </w:rPr>
        <w:t>e the negative environmental impact from organic pig production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66DB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289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It is suggested that organic sows </w:t>
      </w:r>
      <w:r w:rsidR="006A7FB9">
        <w:rPr>
          <w:rFonts w:ascii="Times New Roman" w:hAnsi="Times New Roman" w:cs="Times New Roman"/>
          <w:sz w:val="24"/>
          <w:szCs w:val="24"/>
          <w:lang w:val="en-US"/>
        </w:rPr>
        <w:t xml:space="preserve">might </w:t>
      </w:r>
      <w:r w:rsidR="00DE3289" w:rsidRPr="00757BC5">
        <w:rPr>
          <w:rFonts w:ascii="Times New Roman" w:hAnsi="Times New Roman" w:cs="Times New Roman"/>
          <w:sz w:val="24"/>
          <w:szCs w:val="24"/>
          <w:lang w:val="en-US"/>
        </w:rPr>
        <w:t>need more energy (kg feed</w:t>
      </w:r>
      <w:r w:rsidR="00EB5368" w:rsidRPr="00757BC5">
        <w:rPr>
          <w:rFonts w:ascii="Times New Roman" w:hAnsi="Times New Roman" w:cs="Times New Roman"/>
          <w:sz w:val="24"/>
          <w:szCs w:val="24"/>
          <w:lang w:val="en-US"/>
        </w:rPr>
        <w:t>/d</w:t>
      </w:r>
      <w:r w:rsidR="00DE3289" w:rsidRPr="00757BC5">
        <w:rPr>
          <w:rFonts w:ascii="Times New Roman" w:hAnsi="Times New Roman" w:cs="Times New Roman"/>
          <w:sz w:val="24"/>
          <w:szCs w:val="24"/>
          <w:lang w:val="en-US"/>
        </w:rPr>
        <w:t>) but less protein</w:t>
      </w:r>
      <w:r w:rsidR="00EB5368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(DM protein</w:t>
      </w:r>
      <w:r w:rsidR="00DE3289" w:rsidRPr="00757BC5">
        <w:rPr>
          <w:rFonts w:ascii="Times New Roman" w:hAnsi="Times New Roman" w:cs="Times New Roman"/>
          <w:sz w:val="24"/>
          <w:szCs w:val="24"/>
          <w:lang w:val="en-US"/>
        </w:rPr>
        <w:t>/kg</w:t>
      </w:r>
      <w:r w:rsidR="00EB5368" w:rsidRPr="00757B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>, because they</w:t>
      </w:r>
      <w:r w:rsid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>ingest a considerable amount of protein</w:t>
      </w:r>
      <w:r w:rsidR="00C91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757BC5">
        <w:rPr>
          <w:rFonts w:ascii="Times New Roman" w:hAnsi="Times New Roman" w:cs="Times New Roman"/>
          <w:sz w:val="24"/>
          <w:szCs w:val="24"/>
          <w:lang w:val="en-US"/>
        </w:rPr>
        <w:t xml:space="preserve">grazing in summer and </w:t>
      </w:r>
      <w:r w:rsidR="007A6616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757BC5">
        <w:rPr>
          <w:rFonts w:ascii="Times New Roman" w:hAnsi="Times New Roman" w:cs="Times New Roman"/>
          <w:sz w:val="24"/>
          <w:szCs w:val="24"/>
          <w:lang w:val="en-US"/>
        </w:rPr>
        <w:t xml:space="preserve">roughage in </w:t>
      </w:r>
      <w:r w:rsidR="007A66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57BC5">
        <w:rPr>
          <w:rFonts w:ascii="Times New Roman" w:hAnsi="Times New Roman" w:cs="Times New Roman"/>
          <w:sz w:val="24"/>
          <w:szCs w:val="24"/>
          <w:lang w:val="en-US"/>
        </w:rPr>
        <w:t xml:space="preserve">winter. 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EAE6A8" w14:textId="77777777" w:rsidR="00F93724" w:rsidRPr="00757BC5" w:rsidRDefault="00F93724" w:rsidP="00954C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9F9147" w14:textId="77777777" w:rsidR="00477534" w:rsidRPr="00757BC5" w:rsidRDefault="00477534" w:rsidP="00954C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7BC5">
        <w:rPr>
          <w:rFonts w:ascii="Times New Roman" w:hAnsi="Times New Roman" w:cs="Times New Roman"/>
          <w:b/>
          <w:sz w:val="24"/>
          <w:szCs w:val="24"/>
          <w:lang w:val="en-US"/>
        </w:rPr>
        <w:t>Materials and methods</w:t>
      </w:r>
    </w:p>
    <w:p w14:paraId="3D9506E4" w14:textId="36592868" w:rsidR="005A421F" w:rsidRPr="00757BC5" w:rsidRDefault="0051720C" w:rsidP="005A42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Forty-seven lactating LY 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sows </w:t>
      </w:r>
      <w:proofErr w:type="gramStart"/>
      <w:r w:rsidRPr="00757BC5">
        <w:rPr>
          <w:rFonts w:ascii="Times New Roman" w:hAnsi="Times New Roman" w:cs="Times New Roman"/>
          <w:sz w:val="24"/>
          <w:szCs w:val="24"/>
          <w:lang w:val="en-US"/>
        </w:rPr>
        <w:t>were randoml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>y assigned</w:t>
      </w:r>
      <w:proofErr w:type="gramEnd"/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into low</w:t>
      </w:r>
      <w:r w:rsidR="00E7154C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7FB9">
        <w:rPr>
          <w:rFonts w:ascii="Times New Roman" w:hAnsi="Times New Roman" w:cs="Times New Roman"/>
          <w:sz w:val="24"/>
          <w:szCs w:val="24"/>
          <w:lang w:val="en-US"/>
        </w:rPr>
        <w:t xml:space="preserve">protein </w:t>
      </w:r>
      <w:r w:rsidR="00E7154C" w:rsidRPr="00757BC5">
        <w:rPr>
          <w:rFonts w:ascii="Times New Roman" w:hAnsi="Times New Roman" w:cs="Times New Roman"/>
          <w:sz w:val="24"/>
          <w:szCs w:val="24"/>
          <w:lang w:val="en-US"/>
        </w:rPr>
        <w:t>(12.8% of DM)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7A6616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7A6616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>protein</w:t>
      </w:r>
      <w:r w:rsidR="00E7154C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(14.7% of DM)</w:t>
      </w:r>
      <w:r w:rsidR="00EA5B37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diets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wo periods (winter or summer) were tested. 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The two diets were adjusted to be </w:t>
      </w:r>
      <w:proofErr w:type="spellStart"/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>iso</w:t>
      </w:r>
      <w:proofErr w:type="spellEnd"/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>-energetic (</w:t>
      </w:r>
      <w:r w:rsidR="00F17388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4139FF">
        <w:rPr>
          <w:rFonts w:ascii="Times New Roman" w:hAnsi="Times New Roman" w:cs="Times New Roman"/>
          <w:sz w:val="24"/>
          <w:szCs w:val="24"/>
          <w:lang w:val="en-US"/>
        </w:rPr>
        <w:t xml:space="preserve"> MJ 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F17388">
        <w:rPr>
          <w:rFonts w:ascii="Times New Roman" w:hAnsi="Times New Roman" w:cs="Times New Roman"/>
          <w:sz w:val="24"/>
          <w:szCs w:val="24"/>
          <w:lang w:val="en-US"/>
        </w:rPr>
        <w:t>/d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>) and were of 100% organic origin</w:t>
      </w:r>
      <w:r w:rsidR="00044EBD" w:rsidRPr="00757B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421F" w:rsidRPr="00757BC5">
        <w:rPr>
          <w:rFonts w:ascii="Times New Roman" w:hAnsi="Times New Roman" w:cs="Times New Roman"/>
          <w:lang w:val="en-US"/>
        </w:rPr>
        <w:t xml:space="preserve"> </w:t>
      </w:r>
      <w:r w:rsidR="00044EBD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To meet the extra demand for thermoregulation and </w:t>
      </w:r>
      <w:proofErr w:type="spellStart"/>
      <w:r w:rsidR="00044EBD" w:rsidRPr="00757BC5">
        <w:rPr>
          <w:rFonts w:ascii="Times New Roman" w:hAnsi="Times New Roman" w:cs="Times New Roman"/>
          <w:sz w:val="24"/>
          <w:szCs w:val="24"/>
          <w:lang w:val="en-US"/>
        </w:rPr>
        <w:t>locomotory</w:t>
      </w:r>
      <w:proofErr w:type="spellEnd"/>
      <w:r w:rsidR="00044EBD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activity, t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>he energy all</w:t>
      </w:r>
      <w:r w:rsidR="00044EBD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owance from both treatments </w:t>
      </w:r>
      <w:proofErr w:type="gramStart"/>
      <w:r w:rsidR="00044EBD" w:rsidRPr="00757BC5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increa</w:t>
      </w:r>
      <w:r w:rsidR="00044EBD" w:rsidRPr="00757BC5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gramEnd"/>
      <w:r w:rsidR="00044EBD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7A6616">
        <w:rPr>
          <w:rFonts w:ascii="Times New Roman" w:hAnsi="Times New Roman" w:cs="Times New Roman"/>
          <w:sz w:val="24"/>
          <w:szCs w:val="24"/>
          <w:lang w:val="en-US"/>
        </w:rPr>
        <w:t>adding</w:t>
      </w:r>
      <w:r w:rsidR="007A6616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EBD" w:rsidRPr="00757BC5">
        <w:rPr>
          <w:rFonts w:ascii="Times New Roman" w:hAnsi="Times New Roman" w:cs="Times New Roman"/>
          <w:sz w:val="24"/>
          <w:szCs w:val="24"/>
          <w:lang w:val="en-US"/>
        </w:rPr>
        <w:t>15% to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A6616">
        <w:rPr>
          <w:rFonts w:ascii="Times New Roman" w:hAnsi="Times New Roman" w:cs="Times New Roman"/>
          <w:sz w:val="24"/>
          <w:szCs w:val="24"/>
          <w:lang w:val="en-US"/>
        </w:rPr>
        <w:t xml:space="preserve">recommended 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feeding curves for indoor sows </w:t>
      </w:r>
      <w:r w:rsidR="007A66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>Dani</w:t>
      </w:r>
      <w:r w:rsidR="00044EBD" w:rsidRPr="00757BC5">
        <w:rPr>
          <w:rFonts w:ascii="Times New Roman" w:hAnsi="Times New Roman" w:cs="Times New Roman"/>
          <w:sz w:val="24"/>
          <w:szCs w:val="24"/>
          <w:lang w:val="en-US"/>
        </w:rPr>
        <w:t>sh Pig Research Centre</w:t>
      </w:r>
      <w:r w:rsidR="007A66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4EBD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>During summer</w:t>
      </w:r>
      <w:r w:rsidR="00044EBD" w:rsidRPr="00757BC5">
        <w:rPr>
          <w:rFonts w:ascii="Times New Roman" w:hAnsi="Times New Roman" w:cs="Times New Roman"/>
          <w:sz w:val="24"/>
          <w:szCs w:val="24"/>
          <w:lang w:val="en-US"/>
        </w:rPr>
        <w:t>, sows were fed 4.7 kg</w:t>
      </w:r>
      <w:r w:rsidR="00EB5368" w:rsidRPr="00757BC5">
        <w:rPr>
          <w:rFonts w:ascii="Times New Roman" w:hAnsi="Times New Roman" w:cs="Times New Roman"/>
          <w:sz w:val="24"/>
          <w:szCs w:val="24"/>
          <w:lang w:val="en-US"/>
        </w:rPr>
        <w:t>/d</w:t>
      </w:r>
      <w:r w:rsidR="00044EBD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on  1-3 </w:t>
      </w:r>
      <w:r w:rsidR="001B4A7C">
        <w:rPr>
          <w:rFonts w:ascii="Times New Roman" w:hAnsi="Times New Roman" w:cs="Times New Roman"/>
          <w:sz w:val="24"/>
          <w:szCs w:val="24"/>
          <w:lang w:val="en-US"/>
        </w:rPr>
        <w:t>days in milk (DIM)</w:t>
      </w:r>
      <w:r w:rsidR="00044EBD" w:rsidRPr="00757B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from 4-14 </w:t>
      </w:r>
      <w:r w:rsidR="001B4A7C">
        <w:rPr>
          <w:rFonts w:ascii="Times New Roman" w:hAnsi="Times New Roman" w:cs="Times New Roman"/>
          <w:sz w:val="24"/>
          <w:szCs w:val="24"/>
          <w:lang w:val="en-US"/>
        </w:rPr>
        <w:t xml:space="preserve">DIM, 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>the feed allowance increased by 0.5 kg/d, reaching a plateau of 11.1 kg/d from 14</w:t>
      </w:r>
      <w:r w:rsidR="001B4A7C">
        <w:rPr>
          <w:rFonts w:ascii="Times New Roman" w:hAnsi="Times New Roman" w:cs="Times New Roman"/>
          <w:sz w:val="24"/>
          <w:szCs w:val="24"/>
          <w:lang w:val="en-US"/>
        </w:rPr>
        <w:t xml:space="preserve"> DIM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until weaning</w:t>
      </w:r>
      <w:r w:rsidR="00EB5368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at 47</w:t>
      </w:r>
      <w:r w:rsidR="001B4A7C">
        <w:rPr>
          <w:rFonts w:ascii="Times New Roman" w:hAnsi="Times New Roman" w:cs="Times New Roman"/>
          <w:sz w:val="24"/>
          <w:szCs w:val="24"/>
          <w:lang w:val="en-US"/>
        </w:rPr>
        <w:t xml:space="preserve"> DIM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. On top of that, sows had ad libitum access to clover grass </w:t>
      </w:r>
      <w:r w:rsidR="00F17388">
        <w:rPr>
          <w:rFonts w:ascii="Times New Roman" w:hAnsi="Times New Roman" w:cs="Times New Roman"/>
          <w:sz w:val="24"/>
          <w:szCs w:val="24"/>
          <w:lang w:val="en-US"/>
        </w:rPr>
        <w:t xml:space="preserve">sward 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in the summer period and grass silage in winter </w:t>
      </w:r>
      <w:r w:rsidR="007A66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November </w:t>
      </w:r>
      <w:proofErr w:type="gramStart"/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A421F" w:rsidRPr="00757B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gramEnd"/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to April 15</w:t>
      </w:r>
      <w:r w:rsidR="005A421F" w:rsidRPr="00757B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7A661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5A421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363837" w14:textId="7B418EE9" w:rsidR="007966DB" w:rsidRPr="00757BC5" w:rsidRDefault="00E7154C" w:rsidP="000F0E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All sows and piglets </w:t>
      </w:r>
      <w:proofErr w:type="gramStart"/>
      <w:r w:rsidRPr="00757BC5">
        <w:rPr>
          <w:rFonts w:ascii="Times New Roman" w:hAnsi="Times New Roman" w:cs="Times New Roman"/>
          <w:sz w:val="24"/>
          <w:szCs w:val="24"/>
          <w:lang w:val="en-US"/>
        </w:rPr>
        <w:t>were individually weighed</w:t>
      </w:r>
      <w:proofErr w:type="gramEnd"/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and m</w:t>
      </w:r>
      <w:r w:rsidR="00315787" w:rsidRPr="00757BC5">
        <w:rPr>
          <w:rFonts w:ascii="Times New Roman" w:hAnsi="Times New Roman" w:cs="Times New Roman"/>
          <w:sz w:val="24"/>
          <w:szCs w:val="24"/>
          <w:lang w:val="en-US"/>
        </w:rPr>
        <w:t>ilk/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blood samples were collected from the sow </w:t>
      </w:r>
      <w:r w:rsidR="007A661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A6616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0F0E51" w:rsidRPr="00757B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peak and late lactation </w:t>
      </w:r>
      <w:r w:rsidR="0046394E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(d 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>5, 20, and 40</w:t>
      </w:r>
      <w:r w:rsidR="001B4A7C">
        <w:rPr>
          <w:rFonts w:ascii="Times New Roman" w:hAnsi="Times New Roman" w:cs="Times New Roman"/>
          <w:sz w:val="24"/>
          <w:szCs w:val="24"/>
          <w:lang w:val="en-US"/>
        </w:rPr>
        <w:t xml:space="preserve"> DIM</w:t>
      </w:r>
      <w:r w:rsidR="0046394E" w:rsidRPr="00757B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D09C6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Blood samples </w:t>
      </w:r>
      <w:proofErr w:type="gramStart"/>
      <w:r w:rsidR="00ED09C6" w:rsidRPr="00757BC5">
        <w:rPr>
          <w:rFonts w:ascii="Times New Roman" w:hAnsi="Times New Roman" w:cs="Times New Roman"/>
          <w:sz w:val="24"/>
          <w:szCs w:val="24"/>
          <w:lang w:val="en-US"/>
        </w:rPr>
        <w:t>were col</w:t>
      </w:r>
      <w:r w:rsidR="000F0E51" w:rsidRPr="00757BC5">
        <w:rPr>
          <w:rFonts w:ascii="Times New Roman" w:hAnsi="Times New Roman" w:cs="Times New Roman"/>
          <w:sz w:val="24"/>
          <w:szCs w:val="24"/>
          <w:lang w:val="en-US"/>
        </w:rPr>
        <w:t>lected</w:t>
      </w:r>
      <w:proofErr w:type="gramEnd"/>
      <w:r w:rsidR="000F0E51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by jugular vein puncture</w:t>
      </w:r>
      <w:r w:rsidR="00ED09C6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. The chemical composition of milk for DM content, protein, casein, lactose, and fat </w:t>
      </w:r>
      <w:proofErr w:type="gramStart"/>
      <w:r w:rsidR="00ED09C6" w:rsidRPr="00757BC5">
        <w:rPr>
          <w:rFonts w:ascii="Times New Roman" w:hAnsi="Times New Roman" w:cs="Times New Roman"/>
          <w:sz w:val="24"/>
          <w:szCs w:val="24"/>
          <w:lang w:val="en-US"/>
        </w:rPr>
        <w:t>was analyzed</w:t>
      </w:r>
      <w:proofErr w:type="gramEnd"/>
      <w:r w:rsidR="00ED09C6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in triplicate by infrared spectroscopy using a </w:t>
      </w:r>
      <w:proofErr w:type="spellStart"/>
      <w:r w:rsidR="00ED09C6" w:rsidRPr="00757BC5">
        <w:rPr>
          <w:rFonts w:ascii="Times New Roman" w:hAnsi="Times New Roman" w:cs="Times New Roman"/>
          <w:sz w:val="24"/>
          <w:szCs w:val="24"/>
          <w:lang w:val="en-US"/>
        </w:rPr>
        <w:t>Milkoscan</w:t>
      </w:r>
      <w:proofErr w:type="spellEnd"/>
      <w:r w:rsidR="00ED09C6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4000 instrument. </w:t>
      </w:r>
      <w:r w:rsidR="000F0E51" w:rsidRPr="00757BC5">
        <w:rPr>
          <w:rFonts w:ascii="Times New Roman" w:hAnsi="Times New Roman" w:cs="Times New Roman"/>
          <w:sz w:val="24"/>
          <w:szCs w:val="24"/>
          <w:lang w:val="en-US"/>
        </w:rPr>
        <w:t>Milk yield was estimated by Hansen et al. (2012),</w:t>
      </w:r>
      <w:r w:rsidR="007A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E51" w:rsidRPr="00757BC5">
        <w:rPr>
          <w:rFonts w:ascii="Times New Roman" w:hAnsi="Times New Roman" w:cs="Times New Roman"/>
          <w:sz w:val="24"/>
          <w:szCs w:val="24"/>
          <w:lang w:val="en-US"/>
        </w:rPr>
        <w:t>based on the daily gain of the piglets and litter size</w:t>
      </w:r>
      <w:r w:rsidR="007A6616">
        <w:rPr>
          <w:rFonts w:ascii="Times New Roman" w:hAnsi="Times New Roman" w:cs="Times New Roman"/>
          <w:sz w:val="24"/>
          <w:szCs w:val="24"/>
          <w:lang w:val="en-US"/>
        </w:rPr>
        <w:t>, and calculations were extrapolated from 30 to 49</w:t>
      </w:r>
      <w:r w:rsidR="001B4A7C">
        <w:rPr>
          <w:rFonts w:ascii="Times New Roman" w:hAnsi="Times New Roman" w:cs="Times New Roman"/>
          <w:sz w:val="24"/>
          <w:szCs w:val="24"/>
          <w:lang w:val="en-US"/>
        </w:rPr>
        <w:t xml:space="preserve"> DIM</w:t>
      </w:r>
      <w:r w:rsidR="007A66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0175239" w14:textId="77777777" w:rsidR="00F17388" w:rsidRDefault="00F17388" w:rsidP="00954C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BA300C" w14:textId="77777777" w:rsidR="00477534" w:rsidRPr="00757BC5" w:rsidRDefault="00477534" w:rsidP="00954C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7BC5">
        <w:rPr>
          <w:rFonts w:ascii="Times New Roman" w:hAnsi="Times New Roman" w:cs="Times New Roman"/>
          <w:b/>
          <w:sz w:val="24"/>
          <w:szCs w:val="24"/>
          <w:lang w:val="en-US"/>
        </w:rPr>
        <w:t>Results and discussion</w:t>
      </w:r>
    </w:p>
    <w:p w14:paraId="66D1FFF1" w14:textId="58FB7894" w:rsidR="003D1811" w:rsidRPr="00757BC5" w:rsidRDefault="001F55C7" w:rsidP="003D18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7BC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Milk yield, litter size and daily </w:t>
      </w:r>
      <w:r w:rsidR="007A6616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litter 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gain were </w:t>
      </w:r>
      <w:r w:rsidR="00B23351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not affected by protein level, but </w:t>
      </w:r>
      <w:r w:rsidR="007A6616"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>greater during summer than in winter (P&lt;.001</w:t>
      </w:r>
      <w:proofErr w:type="gramStart"/>
      <w:r w:rsidR="001B4A7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D09C6" w:rsidRPr="00757BC5">
        <w:rPr>
          <w:rFonts w:ascii="Times New Roman" w:hAnsi="Times New Roman" w:cs="Times New Roman"/>
          <w:sz w:val="24"/>
          <w:szCs w:val="24"/>
          <w:lang w:val="en-US"/>
        </w:rPr>
        <w:t>Table</w:t>
      </w:r>
      <w:proofErr w:type="gramEnd"/>
      <w:r w:rsidR="00ED09C6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1)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7A0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364D" w:rsidRPr="00757BC5">
        <w:rPr>
          <w:rFonts w:ascii="Times New Roman" w:hAnsi="Times New Roman" w:cs="Times New Roman"/>
          <w:sz w:val="24"/>
          <w:szCs w:val="24"/>
          <w:lang w:val="en-US"/>
        </w:rPr>
        <w:t>asein concentration w</w:t>
      </w:r>
      <w:r w:rsidR="00D7655E" w:rsidRPr="00757BC5">
        <w:rPr>
          <w:rFonts w:ascii="Times New Roman" w:hAnsi="Times New Roman" w:cs="Times New Roman"/>
          <w:sz w:val="24"/>
          <w:szCs w:val="24"/>
          <w:lang w:val="en-US"/>
        </w:rPr>
        <w:t>as greater (P=0.01) and protein</w:t>
      </w:r>
      <w:r w:rsidR="0058364D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concentrations tended to be higher (P=0.10) in milk from sows fed with </w:t>
      </w:r>
      <w:r w:rsidR="00273367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="0058364D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diet than the LP diet.</w:t>
      </w:r>
      <w:r w:rsidR="00D7655E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88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Milk BHBA showed to be slightly higher, when sows were fed </w:t>
      </w:r>
      <w:r w:rsidR="00273367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="0076488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diet (P=0.05). </w:t>
      </w:r>
      <w:r w:rsidR="00D7655E" w:rsidRPr="00757BC5">
        <w:rPr>
          <w:rFonts w:ascii="Times New Roman" w:hAnsi="Times New Roman" w:cs="Times New Roman"/>
          <w:sz w:val="24"/>
          <w:szCs w:val="24"/>
          <w:lang w:val="en-US"/>
        </w:rPr>
        <w:t>Milk content of DM, f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>at, lactose</w:t>
      </w:r>
      <w:r w:rsidR="0076488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and energy </w:t>
      </w:r>
      <w:proofErr w:type="gramStart"/>
      <w:r w:rsidR="0076488F" w:rsidRPr="00757BC5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D7655E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not affecte</w:t>
      </w:r>
      <w:r w:rsidR="0076488F" w:rsidRPr="00757BC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76488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by dietary regime. </w:t>
      </w:r>
      <w:r w:rsidR="00D7655E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Concentrations of Glu6P, uric acid, BHBA and </w:t>
      </w:r>
      <w:proofErr w:type="spellStart"/>
      <w:r w:rsidR="00D7655E" w:rsidRPr="00757BC5">
        <w:rPr>
          <w:rFonts w:ascii="Times New Roman" w:hAnsi="Times New Roman" w:cs="Times New Roman"/>
          <w:sz w:val="24"/>
          <w:szCs w:val="24"/>
          <w:lang w:val="en-US"/>
        </w:rPr>
        <w:t>NAGa</w:t>
      </w:r>
      <w:r w:rsidR="0076488F" w:rsidRPr="00757BC5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="00EB5368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in milk</w:t>
      </w:r>
      <w:r w:rsidR="0076488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, tended to be higher </w:t>
      </w:r>
      <w:r w:rsidR="00D7655E" w:rsidRPr="00757BC5">
        <w:rPr>
          <w:rFonts w:ascii="Times New Roman" w:hAnsi="Times New Roman" w:cs="Times New Roman"/>
          <w:sz w:val="24"/>
          <w:szCs w:val="24"/>
          <w:lang w:val="en-US"/>
        </w:rPr>
        <w:t>during winter</w:t>
      </w:r>
      <w:r w:rsidR="0076488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than in summer (P≤0.05</w:t>
      </w:r>
      <w:r w:rsidR="00D7655E" w:rsidRPr="00757BC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1B4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811" w:rsidRPr="00757BC5">
        <w:rPr>
          <w:rFonts w:ascii="Times New Roman" w:hAnsi="Times New Roman" w:cs="Times New Roman"/>
          <w:sz w:val="24"/>
          <w:szCs w:val="24"/>
          <w:lang w:val="en-US"/>
        </w:rPr>
        <w:t>Dietary treatments did not show any effect on the measured plasma metabolites (P=0.10). On the other hand, a season</w:t>
      </w:r>
      <w:r w:rsidR="006A7FB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D1811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effect was observed on plasma concentrations of creatinine and lactate</w:t>
      </w:r>
      <w:r w:rsidR="006A7F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1811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as creatinine was greater in sows during summer than winter (P= 0.01). In contrast, plasma lact</w:t>
      </w:r>
      <w:r w:rsidR="00EB5368" w:rsidRPr="00757BC5">
        <w:rPr>
          <w:rFonts w:ascii="Times New Roman" w:hAnsi="Times New Roman" w:cs="Times New Roman"/>
          <w:sz w:val="24"/>
          <w:szCs w:val="24"/>
          <w:lang w:val="en-US"/>
        </w:rPr>
        <w:t>ate concentrations were higher i</w:t>
      </w:r>
      <w:r w:rsidR="003D1811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n winter than during summer (P=0.003). </w:t>
      </w:r>
    </w:p>
    <w:p w14:paraId="2154BA9C" w14:textId="77777777" w:rsidR="00476360" w:rsidRPr="00757BC5" w:rsidRDefault="00476360" w:rsidP="00954CC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87C864" w14:textId="7C5F5DDC" w:rsidR="00FD259D" w:rsidRPr="00757BC5" w:rsidRDefault="00AE1DBF" w:rsidP="00954CC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57BC5">
        <w:rPr>
          <w:rFonts w:ascii="Times New Roman" w:hAnsi="Times New Roman" w:cs="Times New Roman"/>
          <w:sz w:val="20"/>
          <w:szCs w:val="20"/>
          <w:lang w:val="en-US"/>
        </w:rPr>
        <w:t>Table 1. Effects of feeding organic lactating sows</w:t>
      </w:r>
      <w:r w:rsidR="000861A4" w:rsidRPr="00757BC5">
        <w:rPr>
          <w:rFonts w:ascii="Times New Roman" w:hAnsi="Times New Roman" w:cs="Times New Roman"/>
          <w:sz w:val="20"/>
          <w:szCs w:val="20"/>
          <w:lang w:val="en-US"/>
        </w:rPr>
        <w:t xml:space="preserve"> on pasture</w:t>
      </w:r>
      <w:r w:rsidRPr="00757BC5">
        <w:rPr>
          <w:rFonts w:ascii="Times New Roman" w:hAnsi="Times New Roman" w:cs="Times New Roman"/>
          <w:sz w:val="20"/>
          <w:szCs w:val="20"/>
          <w:lang w:val="en-US"/>
        </w:rPr>
        <w:t xml:space="preserve"> either </w:t>
      </w:r>
      <w:r w:rsidR="00B96B6E">
        <w:rPr>
          <w:rFonts w:ascii="Times New Roman" w:hAnsi="Times New Roman" w:cs="Times New Roman"/>
          <w:sz w:val="20"/>
          <w:szCs w:val="20"/>
          <w:lang w:val="en-US"/>
        </w:rPr>
        <w:t>normal</w:t>
      </w:r>
      <w:r w:rsidR="000861A4" w:rsidRPr="00757BC5">
        <w:rPr>
          <w:rFonts w:ascii="Times New Roman" w:hAnsi="Times New Roman" w:cs="Times New Roman"/>
          <w:sz w:val="20"/>
          <w:szCs w:val="20"/>
          <w:lang w:val="en-US"/>
        </w:rPr>
        <w:t xml:space="preserve"> or low dietary prote</w:t>
      </w:r>
      <w:r w:rsidR="00EA5B37" w:rsidRPr="00757BC5">
        <w:rPr>
          <w:rFonts w:ascii="Times New Roman" w:hAnsi="Times New Roman" w:cs="Times New Roman"/>
          <w:sz w:val="20"/>
          <w:szCs w:val="20"/>
          <w:lang w:val="en-US"/>
        </w:rPr>
        <w:t>in diet on</w:t>
      </w:r>
      <w:r w:rsidR="00B23351" w:rsidRPr="00757BC5">
        <w:rPr>
          <w:rFonts w:ascii="Times New Roman" w:hAnsi="Times New Roman" w:cs="Times New Roman"/>
          <w:sz w:val="20"/>
          <w:szCs w:val="20"/>
          <w:lang w:val="en-US"/>
        </w:rPr>
        <w:t xml:space="preserve"> performance, </w:t>
      </w:r>
      <w:r w:rsidR="000861A4" w:rsidRPr="00757BC5">
        <w:rPr>
          <w:rFonts w:ascii="Times New Roman" w:hAnsi="Times New Roman" w:cs="Times New Roman"/>
          <w:sz w:val="20"/>
          <w:szCs w:val="20"/>
          <w:lang w:val="en-US"/>
        </w:rPr>
        <w:t xml:space="preserve">milk composition </w:t>
      </w:r>
      <w:r w:rsidR="00B23351" w:rsidRPr="00757BC5">
        <w:rPr>
          <w:rFonts w:ascii="Times New Roman" w:hAnsi="Times New Roman" w:cs="Times New Roman"/>
          <w:sz w:val="20"/>
          <w:szCs w:val="20"/>
          <w:lang w:val="en-US"/>
        </w:rPr>
        <w:t xml:space="preserve">and plasma metabolites </w:t>
      </w:r>
      <w:r w:rsidR="000861A4" w:rsidRPr="00757BC5">
        <w:rPr>
          <w:rFonts w:ascii="Times New Roman" w:hAnsi="Times New Roman" w:cs="Times New Roman"/>
          <w:sz w:val="20"/>
          <w:szCs w:val="20"/>
          <w:lang w:val="en-US"/>
        </w:rPr>
        <w:t xml:space="preserve">during summer and winter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56"/>
        <w:gridCol w:w="766"/>
        <w:gridCol w:w="790"/>
        <w:gridCol w:w="1030"/>
        <w:gridCol w:w="912"/>
        <w:gridCol w:w="779"/>
        <w:gridCol w:w="718"/>
        <w:gridCol w:w="922"/>
      </w:tblGrid>
      <w:tr w:rsidR="00514D7C" w:rsidRPr="00757BC5" w14:paraId="4D561E6D" w14:textId="77777777" w:rsidTr="00F34695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F7660" w14:textId="77777777" w:rsidR="00514D7C" w:rsidRPr="00757BC5" w:rsidRDefault="00514D7C" w:rsidP="00954C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D16BF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Diet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E5701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Season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CB55A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P-value</w:t>
            </w:r>
          </w:p>
        </w:tc>
      </w:tr>
      <w:tr w:rsidR="00514D7C" w:rsidRPr="00757BC5" w14:paraId="123D468B" w14:textId="77777777" w:rsidTr="00F34695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A288A" w14:textId="77777777" w:rsidR="00514D7C" w:rsidRPr="00757BC5" w:rsidRDefault="00514D7C" w:rsidP="00954C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23A61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LP</w:t>
            </w:r>
            <w:r w:rsidR="00410EEE"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68C02" w14:textId="2CF5BD7C" w:rsidR="00514D7C" w:rsidRPr="00757BC5" w:rsidRDefault="00273367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5EA70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</w:t>
            </w:r>
            <w:r w:rsidR="00410EEE"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FAFFD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F6CEE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AF23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5D944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CA971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Season</w:t>
            </w:r>
          </w:p>
        </w:tc>
      </w:tr>
      <w:tr w:rsidR="00514D7C" w:rsidRPr="00757BC5" w14:paraId="06A7EC60" w14:textId="77777777" w:rsidTr="00F34695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80AF3" w14:textId="77777777" w:rsidR="00514D7C" w:rsidRPr="00757BC5" w:rsidRDefault="00514D7C" w:rsidP="00954C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Milk yield</w:t>
            </w:r>
            <w:r w:rsidR="00F34695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kg/d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8FEEB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853C4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24A3D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6DD4D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410EEE"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4B653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410EEE"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388D0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4544C" w14:textId="77777777" w:rsidR="00514D7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2E56A" w14:textId="1D5E3254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497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</w:tr>
      <w:tr w:rsidR="00514D7C" w:rsidRPr="00757BC5" w14:paraId="12AC71A2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323E2AF" w14:textId="77777777" w:rsidR="00514D7C" w:rsidRPr="00757BC5" w:rsidRDefault="00514D7C" w:rsidP="00954C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Litter size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2BC3C2D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A5D53B4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7960F38F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76CA69E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410EEE"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E40C401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410EEE"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5AC3493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A69DFEA" w14:textId="77777777" w:rsidR="00514D7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ABFFF27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</w:tr>
      <w:tr w:rsidR="00514D7C" w:rsidRPr="00757BC5" w14:paraId="392AD5B1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C900DFE" w14:textId="77777777" w:rsidR="00514D7C" w:rsidRPr="00757BC5" w:rsidRDefault="00514D7C" w:rsidP="00954C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Litter ADG</w:t>
            </w:r>
            <w:r w:rsidR="00F34695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Kg/d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D75C7AE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A7A222B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6A7DC228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58E6001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410EEE"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20600A5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410EEE"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B53A490" w14:textId="77777777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02DD1470" w14:textId="77777777" w:rsidR="00514D7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665C45B" w14:textId="2ABD296B" w:rsidR="00514D7C" w:rsidRPr="00757BC5" w:rsidRDefault="00FB750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497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</w:tr>
      <w:tr w:rsidR="00514D7C" w:rsidRPr="00757BC5" w14:paraId="1B8DE39E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B54B0CE" w14:textId="77777777" w:rsidR="00514D7C" w:rsidRPr="00757BC5" w:rsidRDefault="00514D7C" w:rsidP="00954C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Milk composition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B0FAFF2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3DD99F9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768D51A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BC412A6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C0C39BA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C0F8318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A24E01F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3B6EC24" w14:textId="77777777" w:rsidR="00514D7C" w:rsidRPr="00757BC5" w:rsidRDefault="00514D7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1CC" w:rsidRPr="00757BC5" w14:paraId="48332550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D61E344" w14:textId="77777777" w:rsidR="001241CC" w:rsidRPr="00757BC5" w:rsidRDefault="001241CC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Dry matter</w:t>
            </w:r>
            <w:r w:rsidR="00F34695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F586A64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DF64B22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0CAD11CD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6908CA8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2710928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5793499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25E3AF18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AC0F992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</w:tr>
      <w:tr w:rsidR="001241CC" w:rsidRPr="00757BC5" w14:paraId="4E310111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D2B4EA5" w14:textId="77777777" w:rsidR="001241CC" w:rsidRPr="00757BC5" w:rsidRDefault="001241CC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Protein</w:t>
            </w:r>
            <w:r w:rsidR="00F34695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174EEF4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DFFC667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086B4D5D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783AAA6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1366F2F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0541F7D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0648C7D8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1275D3F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</w:tr>
      <w:tr w:rsidR="001241CC" w:rsidRPr="00757BC5" w14:paraId="5F39DFD7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902D872" w14:textId="77777777" w:rsidR="001241CC" w:rsidRPr="00757BC5" w:rsidRDefault="001241CC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Casein</w:t>
            </w:r>
            <w:r w:rsidR="00F34695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D365D24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99FEBBE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0723C4AC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23CBCA6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F1DEEB0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A5AD398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9745027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E33AB28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</w:tr>
      <w:tr w:rsidR="001241CC" w:rsidRPr="00757BC5" w14:paraId="25A5C1E0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A4D31CB" w14:textId="77777777" w:rsidR="001241CC" w:rsidRPr="00757BC5" w:rsidRDefault="001241CC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Lactose</w:t>
            </w:r>
            <w:r w:rsidR="00F34695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E7C07CC" w14:textId="77777777" w:rsidR="001241CC" w:rsidRPr="00757BC5" w:rsidRDefault="001241CC" w:rsidP="00514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743E8C9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13465265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BD3AB56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260B006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24DAF58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94CA2A7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C08B8C8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</w:tr>
      <w:tr w:rsidR="001241CC" w:rsidRPr="00757BC5" w14:paraId="7D450C51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30B7388" w14:textId="77777777" w:rsidR="001241CC" w:rsidRPr="00757BC5" w:rsidRDefault="001241CC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Fat</w:t>
            </w:r>
            <w:r w:rsidR="00F34695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95C1B59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D91F13B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12E064B7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58472C2" w14:textId="77777777" w:rsidR="001241CC" w:rsidRPr="00757BC5" w:rsidRDefault="005147C1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</w:t>
            </w:r>
            <w:r w:rsidR="001241CC"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53351C0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CD3DAFD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0684E425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33116D1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</w:tr>
      <w:tr w:rsidR="001241CC" w:rsidRPr="00757BC5" w14:paraId="44D16959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CF668B3" w14:textId="77777777" w:rsidR="001241CC" w:rsidRPr="00757BC5" w:rsidRDefault="001241CC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Energy</w:t>
            </w:r>
            <w:r w:rsidR="00F34695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KJ/g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41B7CCE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D8FEC9C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75750D96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697296E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01D3735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545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BDBA25A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3F03614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1577FDE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</w:tr>
      <w:tr w:rsidR="001241CC" w:rsidRPr="00757BC5" w14:paraId="1956B96C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0C3655B" w14:textId="77777777" w:rsidR="001241CC" w:rsidRPr="00757BC5" w:rsidRDefault="001241CC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Milk metabolites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3142EB9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85140CE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702FF141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A474352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AEE929C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D7B1ADA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06C1EF2C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9011385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1CC" w:rsidRPr="00757BC5" w14:paraId="259BE3A8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14317D" w14:textId="77777777" w:rsidR="001241CC" w:rsidRPr="00757BC5" w:rsidRDefault="001241CC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Glu6P</w:t>
            </w:r>
            <w:r w:rsidR="00F34695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BB464D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F84D32A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75A5A7E7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F274B37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17D7863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5804E19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640F0A5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45CC26E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</w:tr>
      <w:tr w:rsidR="001241CC" w:rsidRPr="00757BC5" w14:paraId="374DF6C9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8797ADF" w14:textId="77777777" w:rsidR="001241CC" w:rsidRPr="00757BC5" w:rsidRDefault="001241CC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Glucose</w:t>
            </w:r>
            <w:r w:rsidR="00F34695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76BAADC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8867857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79C360D7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76723FF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ADCCC46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3955CB6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412B6AA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CF67E0A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</w:tr>
      <w:tr w:rsidR="001241CC" w:rsidRPr="00757BC5" w14:paraId="4314E489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5015CDA" w14:textId="77777777" w:rsidR="001241CC" w:rsidRPr="00757BC5" w:rsidRDefault="001241CC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Uric acid</w:t>
            </w:r>
            <w:r w:rsidR="00F34695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µM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053FD3F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12742DD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2A3CDE1F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C2209D3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0DFD731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47C1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64F503C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0BC5FB0C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53CA864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</w:tr>
      <w:tr w:rsidR="001241CC" w:rsidRPr="00757BC5" w14:paraId="59A9C8FE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3903E4E" w14:textId="77777777" w:rsidR="001241CC" w:rsidRPr="00757BC5" w:rsidRDefault="001241CC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BHBA</w:t>
            </w:r>
            <w:r w:rsidR="00F34695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µM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FB2E458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76360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CEECBAD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76360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60087F2B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76360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1036DDC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76360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B9A7793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76360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FEA1666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26A1248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A4C3C14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</w:tr>
      <w:tr w:rsidR="001241CC" w:rsidRPr="00757BC5" w14:paraId="7371520A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190B0AE" w14:textId="77777777" w:rsidR="001241CC" w:rsidRPr="00757BC5" w:rsidRDefault="001241CC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Isocitrate</w:t>
            </w:r>
            <w:proofErr w:type="spellEnd"/>
            <w:r w:rsidR="00F34695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6D6FF72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112720A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BAD90E5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C9C81EE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B313324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983E84F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473FED5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1040CF1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</w:tr>
      <w:tr w:rsidR="001241CC" w:rsidRPr="00757BC5" w14:paraId="095678F3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D653754" w14:textId="77777777" w:rsidR="001241CC" w:rsidRPr="00757BC5" w:rsidRDefault="00F42F3E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1241CC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NAGase</w:t>
            </w:r>
            <w:proofErr w:type="spellEnd"/>
            <w:r w:rsidR="00F34695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241CC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U/l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F08685C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76360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09858E7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76360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7F977AB1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14AE444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76360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123EA3B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76360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9DDB812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09EB4DD4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31575D7" w14:textId="09BD5126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497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</w:tr>
      <w:tr w:rsidR="001241CC" w:rsidRPr="00757BC5" w14:paraId="74CC611D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56AAC76" w14:textId="77777777" w:rsidR="001241CC" w:rsidRPr="00757BC5" w:rsidRDefault="00F42F3E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1241CC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LDH</w:t>
            </w:r>
            <w:r w:rsidR="00F34695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241CC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U/l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8670ED2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4B073F8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205DB74E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64DE661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58BF62C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56FD524" w14:textId="77777777" w:rsidR="001241CC" w:rsidRPr="00757BC5" w:rsidRDefault="001241C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E1DBF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E50BA24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A01DEC8" w14:textId="77777777" w:rsidR="001241CC" w:rsidRPr="00757BC5" w:rsidRDefault="002B23DC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</w:tr>
      <w:tr w:rsidR="00F42F3E" w:rsidRPr="00757BC5" w14:paraId="0F981611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FB69A28" w14:textId="77777777" w:rsidR="00F42F3E" w:rsidRPr="00757BC5" w:rsidRDefault="00F42F3E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Plasma metabolites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B44DDD9" w14:textId="77777777" w:rsidR="00F42F3E" w:rsidRPr="00757BC5" w:rsidRDefault="00F42F3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BFFCE90" w14:textId="77777777" w:rsidR="00F42F3E" w:rsidRPr="00757BC5" w:rsidRDefault="00F42F3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FA42030" w14:textId="77777777" w:rsidR="00F42F3E" w:rsidRPr="00757BC5" w:rsidRDefault="00F42F3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6739BEB" w14:textId="77777777" w:rsidR="00F42F3E" w:rsidRPr="00757BC5" w:rsidRDefault="00F42F3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C314EF9" w14:textId="77777777" w:rsidR="00F42F3E" w:rsidRPr="00757BC5" w:rsidRDefault="00F42F3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AAFA709" w14:textId="77777777" w:rsidR="00F42F3E" w:rsidRPr="00757BC5" w:rsidRDefault="00F42F3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FA7D26B" w14:textId="77777777" w:rsidR="00F42F3E" w:rsidRPr="00757BC5" w:rsidRDefault="00F42F3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4403E04" w14:textId="77777777" w:rsidR="00F42F3E" w:rsidRPr="00757BC5" w:rsidRDefault="00F42F3E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2F3E" w:rsidRPr="00757BC5" w14:paraId="75748E28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8935241" w14:textId="77777777" w:rsidR="00F42F3E" w:rsidRPr="00757BC5" w:rsidRDefault="00F42F3E" w:rsidP="001241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Creatinine, µM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6C77DC7" w14:textId="77777777" w:rsidR="00F42F3E" w:rsidRPr="00757BC5" w:rsidRDefault="00F34695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E30FFED" w14:textId="77777777" w:rsidR="00F42F3E" w:rsidRPr="00757BC5" w:rsidRDefault="00F34695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125.</w:t>
            </w:r>
            <w:r w:rsidR="00476360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8D70F9F" w14:textId="77777777" w:rsidR="00F42F3E" w:rsidRPr="00757BC5" w:rsidRDefault="00F34695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D7F2F82" w14:textId="77777777" w:rsidR="00F42F3E" w:rsidRPr="00757BC5" w:rsidRDefault="00F34695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132.</w:t>
            </w:r>
            <w:r w:rsidR="00476360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34E8BE2" w14:textId="77777777" w:rsidR="00F42F3E" w:rsidRPr="00757BC5" w:rsidRDefault="00F34695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120.</w:t>
            </w:r>
            <w:r w:rsidR="00476360"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759281B" w14:textId="77777777" w:rsidR="00F42F3E" w:rsidRPr="00757BC5" w:rsidRDefault="00F34695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26466D4" w14:textId="77777777" w:rsidR="00F42F3E" w:rsidRPr="00757BC5" w:rsidRDefault="00476360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0C9B6BF" w14:textId="77777777" w:rsidR="00F42F3E" w:rsidRPr="00757BC5" w:rsidRDefault="00F34695" w:rsidP="002B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</w:tr>
      <w:tr w:rsidR="00F34695" w:rsidRPr="00757BC5" w14:paraId="09FBABFB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37E8D65" w14:textId="77777777" w:rsidR="00F34695" w:rsidRPr="00757BC5" w:rsidRDefault="00F34695" w:rsidP="00F346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Glucose, </w:t>
            </w:r>
            <w:proofErr w:type="spellStart"/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9030EB7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5587713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2DDCB94B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7BD3E3A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208F198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C290260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C4CF285" w14:textId="77777777" w:rsidR="00F34695" w:rsidRPr="00757BC5" w:rsidRDefault="00476360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F00BA65" w14:textId="77777777" w:rsidR="00F34695" w:rsidRPr="00757BC5" w:rsidRDefault="00476360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</w:tr>
      <w:tr w:rsidR="00F34695" w:rsidRPr="00757BC5" w14:paraId="4A505366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7017641" w14:textId="77777777" w:rsidR="00F34695" w:rsidRPr="00757BC5" w:rsidRDefault="00F34695" w:rsidP="00F346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Urea, </w:t>
            </w:r>
            <w:proofErr w:type="spellStart"/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E226CB0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9B063F1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7EF703BE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5577F24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8B5704D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3A22D37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FAD5864" w14:textId="77777777" w:rsidR="00F34695" w:rsidRPr="00757BC5" w:rsidRDefault="00476360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824E41F" w14:textId="77777777" w:rsidR="00F34695" w:rsidRPr="00757BC5" w:rsidRDefault="00476360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</w:tr>
      <w:tr w:rsidR="00F34695" w:rsidRPr="00757BC5" w14:paraId="2426EAD3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69C5D9B" w14:textId="77777777" w:rsidR="00F34695" w:rsidRPr="00757BC5" w:rsidRDefault="00F34695" w:rsidP="00F346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Lactate, </w:t>
            </w:r>
            <w:proofErr w:type="spellStart"/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7BFA5DA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E4A6BEB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181AFA67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E0507B3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1.85</w:t>
            </w:r>
            <w:r w:rsidR="00FD527B" w:rsidRPr="00FD527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2054668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2.47</w:t>
            </w:r>
            <w:r w:rsidR="00FD527B" w:rsidRPr="00FD527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F6AB83C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C2A8EF8" w14:textId="77777777" w:rsidR="00F34695" w:rsidRPr="00757BC5" w:rsidRDefault="00476360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7BBA146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</w:t>
            </w:r>
          </w:p>
        </w:tc>
      </w:tr>
      <w:tr w:rsidR="00F34695" w:rsidRPr="00757BC5" w14:paraId="7F6580FB" w14:textId="77777777" w:rsidTr="00F3469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40B65D1" w14:textId="77777777" w:rsidR="00F34695" w:rsidRPr="00757BC5" w:rsidRDefault="00F34695" w:rsidP="00F346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Triglyceride, </w:t>
            </w:r>
            <w:proofErr w:type="spellStart"/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44DA924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25E95FA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1AC9819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553CFB9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B54C17A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D8F33EC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9C7ACF7" w14:textId="77777777" w:rsidR="00F34695" w:rsidRPr="00757BC5" w:rsidRDefault="00476360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C435D77" w14:textId="77777777" w:rsidR="00F34695" w:rsidRPr="00757BC5" w:rsidRDefault="00476360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</w:tr>
      <w:tr w:rsidR="00F34695" w:rsidRPr="00757BC5" w14:paraId="64F6FF9F" w14:textId="77777777" w:rsidTr="00F34695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22CD1" w14:textId="77777777" w:rsidR="00F34695" w:rsidRPr="00757BC5" w:rsidRDefault="00F34695" w:rsidP="00F346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NEFA, µM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E5611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8CC06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7FA24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91.30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40994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025B7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3CB1A" w14:textId="77777777" w:rsidR="00F34695" w:rsidRPr="00757BC5" w:rsidRDefault="00F34695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105.70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37465" w14:textId="77777777" w:rsidR="00F34695" w:rsidRPr="00757BC5" w:rsidRDefault="00476360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51944" w14:textId="77777777" w:rsidR="00F34695" w:rsidRPr="00757BC5" w:rsidRDefault="00476360" w:rsidP="00F34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</w:tr>
    </w:tbl>
    <w:p w14:paraId="72B96042" w14:textId="77777777" w:rsidR="00757BC5" w:rsidRPr="004139FF" w:rsidRDefault="00954CC0" w:rsidP="0093605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E1DBF" w:rsidRPr="00757B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 w:rsidR="00AE1DBF" w:rsidRPr="00757B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 b</w:t>
      </w:r>
      <w:r w:rsidR="00AE1DB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DBF" w:rsidRPr="00757BC5">
        <w:rPr>
          <w:rFonts w:ascii="Times New Roman" w:hAnsi="Times New Roman" w:cs="Times New Roman"/>
          <w:sz w:val="20"/>
          <w:szCs w:val="20"/>
          <w:lang w:val="en-US"/>
        </w:rPr>
        <w:t>Within a row and within a main effect, means with different superscripts differ (P&lt;0,05)</w:t>
      </w:r>
    </w:p>
    <w:p w14:paraId="4CAEBA96" w14:textId="77777777" w:rsidR="004139FF" w:rsidRDefault="004139FF" w:rsidP="0093605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38FB02" w14:textId="1D14802D" w:rsidR="004139FF" w:rsidRDefault="001B4A7C" w:rsidP="009360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DIM 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affected all milk and blood metabolites in the present study (data not shown). Milk L-lactate dehydrogenase (LDH) and </w:t>
      </w:r>
      <w:proofErr w:type="spellStart"/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>NAGase</w:t>
      </w:r>
      <w:proofErr w:type="spellEnd"/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as biomarkers for determination </w:t>
      </w:r>
      <w:r w:rsidR="00FD527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coliform mastitis, showed higher concentrations </w:t>
      </w:r>
      <w:r>
        <w:rPr>
          <w:rFonts w:ascii="Times New Roman" w:hAnsi="Times New Roman" w:cs="Times New Roman"/>
          <w:sz w:val="24"/>
          <w:szCs w:val="24"/>
          <w:lang w:val="en-US"/>
        </w:rPr>
        <w:t>in early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lactation. Milk Glu6P, milk BHBA, plasma NEFA and plasma creatinine concentrations were higher in early lactation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>comparis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with late lactation (P&lt;0.10). Plasma creatinine and glucose </w:t>
      </w:r>
      <w:r w:rsidR="00777D70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concentrations </w:t>
      </w:r>
      <w:r w:rsidR="00777D70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777D70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>highe</w:t>
      </w:r>
      <w:r w:rsidR="00777D70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at d </w:t>
      </w:r>
      <w:proofErr w:type="gramStart"/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, and then declined until the end of lactation (P=0.001). Plasma urea, lactate, triglyceride and NEFA concentrations were greater at </w:t>
      </w:r>
      <w:r w:rsidR="00777D70">
        <w:rPr>
          <w:rFonts w:ascii="Times New Roman" w:hAnsi="Times New Roman" w:cs="Times New Roman"/>
          <w:sz w:val="24"/>
          <w:szCs w:val="24"/>
          <w:lang w:val="en-US"/>
        </w:rPr>
        <w:t>peak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lactation (P</w:t>
      </w:r>
      <w:r w:rsidR="00777D7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0.004).  </w:t>
      </w:r>
    </w:p>
    <w:p w14:paraId="330278DC" w14:textId="1231DC29" w:rsidR="0093605F" w:rsidRPr="00757BC5" w:rsidRDefault="00F17388" w:rsidP="009360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conclusion, it was</w:t>
      </w:r>
      <w:r w:rsidR="00143CC6">
        <w:rPr>
          <w:rFonts w:ascii="Times New Roman" w:hAnsi="Times New Roman" w:cs="Times New Roman"/>
          <w:sz w:val="24"/>
          <w:szCs w:val="24"/>
          <w:lang w:val="en-US"/>
        </w:rPr>
        <w:t xml:space="preserve"> possible to </w:t>
      </w:r>
      <w:r w:rsidR="00FD527B">
        <w:rPr>
          <w:rFonts w:ascii="Times New Roman" w:hAnsi="Times New Roman" w:cs="Times New Roman"/>
          <w:sz w:val="24"/>
          <w:szCs w:val="24"/>
          <w:lang w:val="en-US"/>
        </w:rPr>
        <w:t>reduc</w:t>
      </w:r>
      <w:r w:rsidR="00777D7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D5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D70">
        <w:rPr>
          <w:rFonts w:ascii="Times New Roman" w:hAnsi="Times New Roman" w:cs="Times New Roman"/>
          <w:sz w:val="24"/>
          <w:szCs w:val="24"/>
          <w:lang w:val="en-US"/>
        </w:rPr>
        <w:t xml:space="preserve">dietary </w:t>
      </w:r>
      <w:r w:rsidR="00FD527B">
        <w:rPr>
          <w:rFonts w:ascii="Times New Roman" w:hAnsi="Times New Roman" w:cs="Times New Roman"/>
          <w:sz w:val="24"/>
          <w:szCs w:val="24"/>
          <w:lang w:val="en-US"/>
        </w:rPr>
        <w:t>protein con</w:t>
      </w:r>
      <w:r w:rsidR="00777D70">
        <w:rPr>
          <w:rFonts w:ascii="Times New Roman" w:hAnsi="Times New Roman" w:cs="Times New Roman"/>
          <w:sz w:val="24"/>
          <w:szCs w:val="24"/>
          <w:lang w:val="en-US"/>
        </w:rPr>
        <w:t xml:space="preserve">centration to </w:t>
      </w:r>
      <w:r w:rsidR="00FD527B">
        <w:rPr>
          <w:rFonts w:ascii="Times New Roman" w:hAnsi="Times New Roman" w:cs="Times New Roman"/>
          <w:sz w:val="24"/>
          <w:szCs w:val="24"/>
          <w:lang w:val="en-US"/>
        </w:rPr>
        <w:t>organic sow</w:t>
      </w:r>
      <w:r w:rsidR="00777D70">
        <w:rPr>
          <w:rFonts w:ascii="Times New Roman" w:hAnsi="Times New Roman" w:cs="Times New Roman"/>
          <w:sz w:val="24"/>
          <w:szCs w:val="24"/>
          <w:lang w:val="en-US"/>
        </w:rPr>
        <w:t xml:space="preserve">s with 13% </w:t>
      </w:r>
      <w:r w:rsidR="00FD527B">
        <w:rPr>
          <w:rFonts w:ascii="Times New Roman" w:hAnsi="Times New Roman" w:cs="Times New Roman"/>
          <w:sz w:val="24"/>
          <w:szCs w:val="24"/>
          <w:lang w:val="en-US"/>
        </w:rPr>
        <w:t>without impairing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milk yield, litter size, or daily </w:t>
      </w:r>
      <w:r w:rsidR="00777D70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litter 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>gain, when</w:t>
      </w:r>
      <w:r w:rsidR="00FD527B">
        <w:rPr>
          <w:rFonts w:ascii="Times New Roman" w:hAnsi="Times New Roman" w:cs="Times New Roman"/>
          <w:sz w:val="24"/>
          <w:szCs w:val="24"/>
          <w:lang w:val="en-US"/>
        </w:rPr>
        <w:t xml:space="preserve"> the animals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had</w:t>
      </w:r>
      <w:r w:rsidR="00143CC6">
        <w:rPr>
          <w:rFonts w:ascii="Times New Roman" w:hAnsi="Times New Roman" w:cs="Times New Roman"/>
          <w:sz w:val="24"/>
          <w:szCs w:val="24"/>
          <w:lang w:val="en-US"/>
        </w:rPr>
        <w:t xml:space="preserve"> ad libitum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ac</w:t>
      </w:r>
      <w:r w:rsidR="00777D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7D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s to fresh </w:t>
      </w:r>
      <w:r w:rsidR="00FD527B">
        <w:rPr>
          <w:rFonts w:ascii="Times New Roman" w:hAnsi="Times New Roman" w:cs="Times New Roman"/>
          <w:sz w:val="24"/>
          <w:szCs w:val="24"/>
          <w:lang w:val="en-US"/>
        </w:rPr>
        <w:t xml:space="preserve">clover 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>grass</w:t>
      </w:r>
      <w:r w:rsidR="00FD527B">
        <w:rPr>
          <w:rFonts w:ascii="Times New Roman" w:hAnsi="Times New Roman" w:cs="Times New Roman"/>
          <w:sz w:val="24"/>
          <w:szCs w:val="24"/>
          <w:lang w:val="en-US"/>
        </w:rPr>
        <w:t xml:space="preserve"> in summer and 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>grass silage</w:t>
      </w:r>
      <w:r w:rsidR="00FD527B">
        <w:rPr>
          <w:rFonts w:ascii="Times New Roman" w:hAnsi="Times New Roman" w:cs="Times New Roman"/>
          <w:sz w:val="24"/>
          <w:szCs w:val="24"/>
          <w:lang w:val="en-US"/>
        </w:rPr>
        <w:t xml:space="preserve"> in winter. </w:t>
      </w:r>
      <w:r w:rsidR="0093605F" w:rsidRPr="0075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93605F" w:rsidRPr="00757BC5" w:rsidSect="00954C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C0"/>
    <w:rsid w:val="00027D0D"/>
    <w:rsid w:val="00043AF9"/>
    <w:rsid w:val="00044EBD"/>
    <w:rsid w:val="000861A4"/>
    <w:rsid w:val="000F0E51"/>
    <w:rsid w:val="001241CC"/>
    <w:rsid w:val="00143CC6"/>
    <w:rsid w:val="0017221C"/>
    <w:rsid w:val="00177807"/>
    <w:rsid w:val="001B4A7C"/>
    <w:rsid w:val="001F55C7"/>
    <w:rsid w:val="00260CE7"/>
    <w:rsid w:val="00273367"/>
    <w:rsid w:val="002B23DC"/>
    <w:rsid w:val="00305965"/>
    <w:rsid w:val="00315787"/>
    <w:rsid w:val="00396359"/>
    <w:rsid w:val="003D01C8"/>
    <w:rsid w:val="003D1811"/>
    <w:rsid w:val="00410EEE"/>
    <w:rsid w:val="004139FF"/>
    <w:rsid w:val="004333E6"/>
    <w:rsid w:val="004524C2"/>
    <w:rsid w:val="0046394E"/>
    <w:rsid w:val="0046470A"/>
    <w:rsid w:val="00476360"/>
    <w:rsid w:val="00477534"/>
    <w:rsid w:val="0049459A"/>
    <w:rsid w:val="00497A0E"/>
    <w:rsid w:val="004A4714"/>
    <w:rsid w:val="005147C1"/>
    <w:rsid w:val="00514D7C"/>
    <w:rsid w:val="0051720C"/>
    <w:rsid w:val="005607FB"/>
    <w:rsid w:val="0058364D"/>
    <w:rsid w:val="005A421F"/>
    <w:rsid w:val="00675026"/>
    <w:rsid w:val="006A7FB9"/>
    <w:rsid w:val="00757BC5"/>
    <w:rsid w:val="0076488F"/>
    <w:rsid w:val="007658DB"/>
    <w:rsid w:val="00777D70"/>
    <w:rsid w:val="007966DB"/>
    <w:rsid w:val="007A6616"/>
    <w:rsid w:val="007A7221"/>
    <w:rsid w:val="008F618F"/>
    <w:rsid w:val="0093605F"/>
    <w:rsid w:val="00954CC0"/>
    <w:rsid w:val="009C4DF5"/>
    <w:rsid w:val="00AC44FB"/>
    <w:rsid w:val="00AE1DBF"/>
    <w:rsid w:val="00AE7892"/>
    <w:rsid w:val="00B1507A"/>
    <w:rsid w:val="00B23351"/>
    <w:rsid w:val="00B96B6E"/>
    <w:rsid w:val="00C05484"/>
    <w:rsid w:val="00C63CA8"/>
    <w:rsid w:val="00C91E92"/>
    <w:rsid w:val="00D02495"/>
    <w:rsid w:val="00D7655E"/>
    <w:rsid w:val="00DE3289"/>
    <w:rsid w:val="00E62EC1"/>
    <w:rsid w:val="00E7154C"/>
    <w:rsid w:val="00E71E95"/>
    <w:rsid w:val="00EA5B37"/>
    <w:rsid w:val="00EB41DE"/>
    <w:rsid w:val="00EB5368"/>
    <w:rsid w:val="00ED09C6"/>
    <w:rsid w:val="00F17388"/>
    <w:rsid w:val="00F34695"/>
    <w:rsid w:val="00F42F3E"/>
    <w:rsid w:val="00F43592"/>
    <w:rsid w:val="00F55D02"/>
    <w:rsid w:val="00F93724"/>
    <w:rsid w:val="00FA4807"/>
    <w:rsid w:val="00FB750E"/>
    <w:rsid w:val="00FC732B"/>
    <w:rsid w:val="00FD259D"/>
    <w:rsid w:val="00FD527B"/>
    <w:rsid w:val="00FF2E3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F17"/>
  <w15:chartTrackingRefBased/>
  <w15:docId w15:val="{52D7BC05-CB78-4FF6-85C9-757F8677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D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76360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480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4807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48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480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480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48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Eskildsen@anis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Eskildsen</dc:creator>
  <cp:keywords/>
  <dc:description/>
  <cp:lastModifiedBy>Malene Jakobsen</cp:lastModifiedBy>
  <cp:revision>2</cp:revision>
  <cp:lastPrinted>2019-04-08T12:58:00Z</cp:lastPrinted>
  <dcterms:created xsi:type="dcterms:W3CDTF">2021-05-21T11:48:00Z</dcterms:created>
  <dcterms:modified xsi:type="dcterms:W3CDTF">2021-05-21T11:48:00Z</dcterms:modified>
</cp:coreProperties>
</file>