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0B2" w:rsidRPr="007800C3" w:rsidRDefault="003440B2" w:rsidP="005E6445">
      <w:pPr>
        <w:jc w:val="both"/>
        <w:rPr>
          <w:b/>
        </w:rPr>
      </w:pPr>
      <w:r w:rsidRPr="007800C3">
        <w:rPr>
          <w:b/>
        </w:rPr>
        <w:t xml:space="preserve">Introduire la diversité dans les ateliers d’élevage, une enquête </w:t>
      </w:r>
      <w:r w:rsidR="00524AC0">
        <w:rPr>
          <w:b/>
        </w:rPr>
        <w:t>menée dans 16</w:t>
      </w:r>
      <w:r w:rsidR="007800C3" w:rsidRPr="007800C3">
        <w:rPr>
          <w:b/>
        </w:rPr>
        <w:t xml:space="preserve"> fermes wallonnes</w:t>
      </w:r>
    </w:p>
    <w:p w:rsidR="003440B2" w:rsidRDefault="003440B2" w:rsidP="005E6445">
      <w:pPr>
        <w:jc w:val="both"/>
      </w:pPr>
    </w:p>
    <w:p w:rsidR="000D314C" w:rsidRPr="009A07E1" w:rsidRDefault="00257272" w:rsidP="005E6445">
      <w:pPr>
        <w:jc w:val="both"/>
      </w:pPr>
      <w:r>
        <w:t>Durant la seconde moitié du XXème siècle, le secteur agricole européen a connu d’importantes transformations qui l’ont rendu prospère grâce à la généralisation de la mécanisation, à l’utilisation d’intrants chimiques</w:t>
      </w:r>
      <w:r w:rsidR="00ED6C31">
        <w:t xml:space="preserve">, </w:t>
      </w:r>
      <w:r>
        <w:t>aux apports de la sélection végétale et animale</w:t>
      </w:r>
      <w:r w:rsidR="00ED6C31">
        <w:t>,</w:t>
      </w:r>
      <w:r>
        <w:t xml:space="preserve"> e</w:t>
      </w:r>
      <w:bookmarkStart w:id="0" w:name="_GoBack"/>
      <w:bookmarkEnd w:id="0"/>
      <w:r>
        <w:t>t la standardisation des modes de production. Engagé</w:t>
      </w:r>
      <w:r w:rsidR="005F791D">
        <w:t>e</w:t>
      </w:r>
      <w:r>
        <w:t xml:space="preserve"> dans une logique d’industrialisation, la productivité du secteur primaire a crû dans des proportions inédites en l’espace de 50 ans, produisant une alimentation abon</w:t>
      </w:r>
      <w:r w:rsidR="00AE2614">
        <w:t xml:space="preserve">dante et à bas prix </w:t>
      </w:r>
      <w:sdt>
        <w:sdtPr>
          <w:id w:val="1988903051"/>
          <w:citation/>
        </w:sdtPr>
        <w:sdtEndPr/>
        <w:sdtContent>
          <w:r w:rsidR="00AE2614">
            <w:fldChar w:fldCharType="begin"/>
          </w:r>
          <w:r w:rsidR="000277A2">
            <w:instrText xml:space="preserve">CITATION CAL20 \l 2060 </w:instrText>
          </w:r>
          <w:r w:rsidR="00AE2614">
            <w:fldChar w:fldCharType="separate"/>
          </w:r>
          <w:r w:rsidR="00A34C4B">
            <w:rPr>
              <w:noProof/>
            </w:rPr>
            <w:t>(CALAY, RONDIA, &amp; BURNY, 2020)</w:t>
          </w:r>
          <w:r w:rsidR="00AE2614">
            <w:fldChar w:fldCharType="end"/>
          </w:r>
        </w:sdtContent>
      </w:sdt>
      <w:r>
        <w:t>.</w:t>
      </w:r>
      <w:r w:rsidRPr="009A07E1">
        <w:t xml:space="preserve"> </w:t>
      </w:r>
      <w:r w:rsidR="005D1ACB" w:rsidRPr="009A07E1">
        <w:t>Les limites de ce modèle so</w:t>
      </w:r>
      <w:r w:rsidR="006112CB" w:rsidRPr="009A07E1">
        <w:t xml:space="preserve">nt aujourd’hui bien documentées : </w:t>
      </w:r>
      <w:r w:rsidR="005D1ACB" w:rsidRPr="009A07E1">
        <w:t>déclin de la biodiversité, dont celui de l’</w:t>
      </w:r>
      <w:proofErr w:type="spellStart"/>
      <w:r w:rsidR="005D1ACB" w:rsidRPr="009A07E1">
        <w:t>agrobiodiversité</w:t>
      </w:r>
      <w:proofErr w:type="spellEnd"/>
      <w:r w:rsidR="005D1ACB" w:rsidRPr="009A07E1">
        <w:t xml:space="preserve">, </w:t>
      </w:r>
      <w:r w:rsidR="00F8721F">
        <w:t>ce qui à terme</w:t>
      </w:r>
      <w:r w:rsidR="005D1ACB" w:rsidRPr="009A07E1">
        <w:t xml:space="preserve"> remet en cause la capacité d’adaptation des systèmes de pro</w:t>
      </w:r>
      <w:r w:rsidR="009A07E1">
        <w:t>duction aux changements globaux</w:t>
      </w:r>
      <w:r w:rsidR="00F8721F">
        <w:t>,</w:t>
      </w:r>
      <w:r w:rsidR="009A07E1">
        <w:t xml:space="preserve"> et</w:t>
      </w:r>
      <w:r w:rsidR="005D1ACB" w:rsidRPr="009A07E1">
        <w:t xml:space="preserve"> l'augmentation à </w:t>
      </w:r>
      <w:r w:rsidR="009A07E1">
        <w:t xml:space="preserve">court terme de la productivité </w:t>
      </w:r>
      <w:r w:rsidR="005D1ACB" w:rsidRPr="009A07E1">
        <w:t xml:space="preserve">souvent négativement corrélée </w:t>
      </w:r>
      <w:r w:rsidR="00AE2614">
        <w:t xml:space="preserve">à la productivité à long terme </w:t>
      </w:r>
      <w:sdt>
        <w:sdtPr>
          <w:id w:val="-1179039907"/>
          <w:citation/>
        </w:sdtPr>
        <w:sdtEndPr/>
        <w:sdtContent>
          <w:r w:rsidR="00AE2614">
            <w:fldChar w:fldCharType="begin"/>
          </w:r>
          <w:r w:rsidR="000277A2">
            <w:instrText xml:space="preserve">CITATION Wei03 \l 2060 </w:instrText>
          </w:r>
          <w:r w:rsidR="00AE2614">
            <w:fldChar w:fldCharType="separate"/>
          </w:r>
          <w:r w:rsidR="00A34C4B">
            <w:rPr>
              <w:noProof/>
            </w:rPr>
            <w:t>(WEINER, 2003)</w:t>
          </w:r>
          <w:r w:rsidR="00AE2614">
            <w:fldChar w:fldCharType="end"/>
          </w:r>
        </w:sdtContent>
      </w:sdt>
      <w:r w:rsidR="005D1ACB" w:rsidRPr="009A07E1">
        <w:t xml:space="preserve">. </w:t>
      </w:r>
    </w:p>
    <w:p w:rsidR="009A07E1" w:rsidRDefault="000D314C" w:rsidP="005E6445">
      <w:pPr>
        <w:jc w:val="both"/>
      </w:pPr>
      <w:r w:rsidRPr="009A07E1">
        <w:t>Face à ces limites</w:t>
      </w:r>
      <w:r w:rsidR="004A2605" w:rsidRPr="009A07E1">
        <w:t>, des systèmes d’élevage alternatifs ont émergé, mettant en évidenc</w:t>
      </w:r>
      <w:r w:rsidR="008D20C1" w:rsidRPr="009A07E1">
        <w:t>e la nécessité</w:t>
      </w:r>
      <w:r w:rsidR="004A2605" w:rsidRPr="009A07E1">
        <w:t xml:space="preserve"> d’une transition </w:t>
      </w:r>
      <w:proofErr w:type="spellStart"/>
      <w:r w:rsidR="004A2605" w:rsidRPr="009A07E1">
        <w:t>agroécologique</w:t>
      </w:r>
      <w:proofErr w:type="spellEnd"/>
      <w:r w:rsidR="004A2605" w:rsidRPr="009A07E1">
        <w:t xml:space="preserve"> en élevage. </w:t>
      </w:r>
      <w:r w:rsidR="009A07E1">
        <w:t xml:space="preserve">Dans les systèmes d'élevage, les principes </w:t>
      </w:r>
      <w:proofErr w:type="spellStart"/>
      <w:r w:rsidR="009A07E1">
        <w:t>agroécologiques</w:t>
      </w:r>
      <w:proofErr w:type="spellEnd"/>
      <w:r w:rsidR="009A07E1">
        <w:t xml:space="preserve"> reposent sur la diversité des sources d'alimentation, l'adaptation des animaux et des pratiques aux écosystèmes locaux et le recyclage des sous-produits dans une logique d'économie</w:t>
      </w:r>
      <w:r w:rsidR="00A34C4B">
        <w:t xml:space="preserve"> circulaire</w:t>
      </w:r>
      <w:sdt>
        <w:sdtPr>
          <w:id w:val="169452019"/>
          <w:citation/>
        </w:sdtPr>
        <w:sdtEndPr/>
        <w:sdtContent>
          <w:r w:rsidR="00A34C4B">
            <w:fldChar w:fldCharType="begin"/>
          </w:r>
          <w:r w:rsidR="00A34C4B">
            <w:instrText xml:space="preserve">CITATION Tho14 \l 2060 </w:instrText>
          </w:r>
          <w:r w:rsidR="00A34C4B">
            <w:fldChar w:fldCharType="separate"/>
          </w:r>
          <w:r w:rsidR="00A34C4B">
            <w:rPr>
              <w:noProof/>
            </w:rPr>
            <w:t xml:space="preserve"> (THOMAS, et al., 2014)</w:t>
          </w:r>
          <w:r w:rsidR="00A34C4B">
            <w:fldChar w:fldCharType="end"/>
          </w:r>
        </w:sdtContent>
      </w:sdt>
      <w:r w:rsidR="009A07E1">
        <w:t>. Le mélange des espèces animales dans les</w:t>
      </w:r>
      <w:r w:rsidR="00E1725A">
        <w:t xml:space="preserve"> systèmes d'élevage mixtes</w:t>
      </w:r>
      <w:r w:rsidR="009A07E1">
        <w:t xml:space="preserve"> peut être une option prometteuse pour organiser les complémentar</w:t>
      </w:r>
      <w:r w:rsidR="005E6445">
        <w:t>ités au sein des fermes</w:t>
      </w:r>
      <w:r w:rsidR="009A07E1">
        <w:t xml:space="preserve">. </w:t>
      </w:r>
    </w:p>
    <w:p w:rsidR="00F8721F" w:rsidRDefault="004D618C" w:rsidP="005E6445">
      <w:pPr>
        <w:jc w:val="both"/>
      </w:pPr>
      <w:r>
        <w:t>Les fermes d’élevage mixte</w:t>
      </w:r>
      <w:r w:rsidR="000E247F">
        <w:t xml:space="preserve"> </w:t>
      </w:r>
      <w:r w:rsidR="001A1D17">
        <w:t>constituent l’objet</w:t>
      </w:r>
      <w:r w:rsidR="00427263">
        <w:t xml:space="preserve"> </w:t>
      </w:r>
      <w:r w:rsidR="001A1D17">
        <w:t>d’étude du projet Mix-</w:t>
      </w:r>
      <w:proofErr w:type="spellStart"/>
      <w:r w:rsidR="001A1D17">
        <w:t>Enable</w:t>
      </w:r>
      <w:proofErr w:type="spellEnd"/>
      <w:r w:rsidR="001A1D17">
        <w:rPr>
          <w:rStyle w:val="Appelnotedebasdep"/>
        </w:rPr>
        <w:footnoteReference w:id="1"/>
      </w:r>
      <w:r w:rsidR="00427263">
        <w:t>. </w:t>
      </w:r>
      <w:r w:rsidR="004C7786">
        <w:t xml:space="preserve">En vue de </w:t>
      </w:r>
      <w:r w:rsidR="000C7140">
        <w:t xml:space="preserve">les </w:t>
      </w:r>
      <w:r w:rsidR="004C7786">
        <w:t>caractériser, 127 enquêtes ont été menées à l’échelle européenne (Allemagne, Autriche, Belgique, France, I</w:t>
      </w:r>
      <w:r w:rsidR="000277A2">
        <w:t>talie, Suède et Suisse), dont 16</w:t>
      </w:r>
      <w:r w:rsidR="004C7786">
        <w:t xml:space="preserve"> en Wallonie. </w:t>
      </w:r>
    </w:p>
    <w:p w:rsidR="009217A2" w:rsidRDefault="004C7786" w:rsidP="005E6445">
      <w:pPr>
        <w:jc w:val="both"/>
      </w:pPr>
      <w:r>
        <w:t>L’objectif de cet article est de présenter ces ferme</w:t>
      </w:r>
      <w:r w:rsidR="00575454">
        <w:t xml:space="preserve"> wallonne</w:t>
      </w:r>
      <w:r>
        <w:t>s, les pratiques qui y sont dével</w:t>
      </w:r>
      <w:r w:rsidR="000C7140">
        <w:t xml:space="preserve">oppées et les objectifs qui </w:t>
      </w:r>
      <w:r>
        <w:t>animent les agriculteurs à abriter cet</w:t>
      </w:r>
      <w:r w:rsidR="000E247F">
        <w:t>te</w:t>
      </w:r>
      <w:r>
        <w:t xml:space="preserve"> </w:t>
      </w:r>
      <w:proofErr w:type="spellStart"/>
      <w:r>
        <w:t>agrobiodiversité</w:t>
      </w:r>
      <w:proofErr w:type="spellEnd"/>
      <w:r>
        <w:t>.</w:t>
      </w:r>
      <w:r w:rsidR="00281635">
        <w:t xml:space="preserve"> </w:t>
      </w:r>
    </w:p>
    <w:p w:rsidR="003D187E" w:rsidRPr="003D187E" w:rsidRDefault="003D187E" w:rsidP="005E6445">
      <w:pPr>
        <w:jc w:val="both"/>
        <w:rPr>
          <w:u w:val="single"/>
        </w:rPr>
      </w:pPr>
      <w:r w:rsidRPr="003D187E">
        <w:rPr>
          <w:u w:val="single"/>
        </w:rPr>
        <w:t>Un cadre conceptuel pour analyser la diversité</w:t>
      </w:r>
    </w:p>
    <w:p w:rsidR="003631A0" w:rsidRDefault="003631A0" w:rsidP="003631A0">
      <w:pPr>
        <w:jc w:val="both"/>
      </w:pPr>
      <w:r w:rsidRPr="003631A0">
        <w:t xml:space="preserve">La grille de lecture de </w:t>
      </w:r>
      <w:r w:rsidR="009217A2">
        <w:t>l’</w:t>
      </w:r>
      <w:proofErr w:type="spellStart"/>
      <w:r w:rsidR="00306645">
        <w:t>agrobiodiversité</w:t>
      </w:r>
      <w:proofErr w:type="spellEnd"/>
      <w:r w:rsidR="00306645">
        <w:t xml:space="preserve"> dans l</w:t>
      </w:r>
      <w:r w:rsidRPr="003631A0">
        <w:t xml:space="preserve">es fermes </w:t>
      </w:r>
      <w:r w:rsidR="00306645">
        <w:t xml:space="preserve">suivies </w:t>
      </w:r>
      <w:r w:rsidRPr="003631A0">
        <w:t>est inspirée du cadre</w:t>
      </w:r>
      <w:r w:rsidR="00443BC2">
        <w:t xml:space="preserve"> conceptuel issu de</w:t>
      </w:r>
      <w:r w:rsidR="00306645">
        <w:t xml:space="preserve"> l’étude d</w:t>
      </w:r>
      <w:r w:rsidR="00D225AC">
        <w:t>e Magne et al.</w:t>
      </w:r>
      <w:sdt>
        <w:sdtPr>
          <w:id w:val="-1388641206"/>
          <w:citation/>
        </w:sdtPr>
        <w:sdtEndPr/>
        <w:sdtContent>
          <w:r w:rsidR="00D225AC">
            <w:fldChar w:fldCharType="begin"/>
          </w:r>
          <w:r w:rsidR="00D225AC">
            <w:instrText xml:space="preserve"> CITATION MAG19 \l 2060 </w:instrText>
          </w:r>
          <w:r w:rsidR="00D225AC">
            <w:fldChar w:fldCharType="separate"/>
          </w:r>
          <w:r w:rsidR="00A34C4B">
            <w:rPr>
              <w:noProof/>
            </w:rPr>
            <w:t xml:space="preserve"> (MAGNE, et al., 2019)</w:t>
          </w:r>
          <w:r w:rsidR="00D225AC">
            <w:fldChar w:fldCharType="end"/>
          </w:r>
        </w:sdtContent>
      </w:sdt>
      <w:r w:rsidR="00717A94">
        <w:t xml:space="preserve">. </w:t>
      </w:r>
      <w:r w:rsidR="00941C1A">
        <w:t xml:space="preserve">Il comprend 4 composantes : </w:t>
      </w:r>
    </w:p>
    <w:p w:rsidR="00B95D87" w:rsidRDefault="00B95D87" w:rsidP="00B95D87">
      <w:pPr>
        <w:pStyle w:val="Paragraphedeliste"/>
        <w:numPr>
          <w:ilvl w:val="0"/>
          <w:numId w:val="1"/>
        </w:numPr>
        <w:jc w:val="both"/>
      </w:pPr>
      <w:proofErr w:type="gramStart"/>
      <w:r>
        <w:t>les</w:t>
      </w:r>
      <w:proofErr w:type="gramEnd"/>
      <w:r>
        <w:t xml:space="preserve"> formes que recouvre la diversité</w:t>
      </w:r>
      <w:r w:rsidR="0019373F">
        <w:t xml:space="preserve"> (génétique, phénotypique, spécifique et fonctionnelle)</w:t>
      </w:r>
      <w:r w:rsidR="0009106E">
        <w:t> ;</w:t>
      </w:r>
    </w:p>
    <w:p w:rsidR="0009106E" w:rsidRDefault="00CB746A" w:rsidP="00B95D87">
      <w:pPr>
        <w:pStyle w:val="Paragraphedeliste"/>
        <w:numPr>
          <w:ilvl w:val="0"/>
          <w:numId w:val="1"/>
        </w:numPr>
        <w:jc w:val="both"/>
      </w:pPr>
      <w:r>
        <w:t>les niveaux où la dive</w:t>
      </w:r>
      <w:r w:rsidR="00575454">
        <w:t>rsité se construit (le gène, de l’organe, l’individu, le troupeau, le</w:t>
      </w:r>
      <w:r>
        <w:t xml:space="preserve"> système d’élevage) et s’exprime (</w:t>
      </w:r>
      <w:r w:rsidR="009820DA">
        <w:t xml:space="preserve">au niveau </w:t>
      </w:r>
      <w:r>
        <w:t>de l’animal, du troupeau, du système d’élevage)</w:t>
      </w:r>
      <w:r w:rsidR="00E3666E">
        <w:rPr>
          <w:rStyle w:val="Appelnotedebasdep"/>
        </w:rPr>
        <w:footnoteReference w:id="2"/>
      </w:r>
      <w:r>
        <w:t> ;</w:t>
      </w:r>
    </w:p>
    <w:p w:rsidR="00CB746A" w:rsidRDefault="009820DA" w:rsidP="00B95D87">
      <w:pPr>
        <w:pStyle w:val="Paragraphedeliste"/>
        <w:numPr>
          <w:ilvl w:val="0"/>
          <w:numId w:val="1"/>
        </w:numPr>
        <w:jc w:val="both"/>
      </w:pPr>
      <w:proofErr w:type="gramStart"/>
      <w:r>
        <w:t>les</w:t>
      </w:r>
      <w:proofErr w:type="gramEnd"/>
      <w:r>
        <w:t xml:space="preserve"> gestionnaires de cette diversité, les modalités de gestion c’est-à-dire les pratiques</w:t>
      </w:r>
      <w:r w:rsidR="00E3666E">
        <w:t xml:space="preserve"> </w:t>
      </w:r>
      <w:r>
        <w:t>d’élevage liées à la diversité</w:t>
      </w:r>
      <w:r w:rsidR="00E77CDD">
        <w:t xml:space="preserve"> (interactions entre les ateliers)</w:t>
      </w:r>
      <w:r w:rsidR="00E3666E">
        <w:t> ;</w:t>
      </w:r>
    </w:p>
    <w:p w:rsidR="00D9287E" w:rsidRPr="003631A0" w:rsidRDefault="00F62B92" w:rsidP="00AB1AE7">
      <w:pPr>
        <w:pStyle w:val="Paragraphedeliste"/>
        <w:numPr>
          <w:ilvl w:val="0"/>
          <w:numId w:val="1"/>
        </w:numPr>
        <w:jc w:val="both"/>
      </w:pPr>
      <w:r>
        <w:t xml:space="preserve">Les bénéfices </w:t>
      </w:r>
      <w:r w:rsidR="00B4182F">
        <w:t>retirés de</w:t>
      </w:r>
      <w:r>
        <w:t xml:space="preserve"> la diversité animale (élargissement de l’éventail de produits vendus, meilleure valorisation des ressources utilisées ou améliorat</w:t>
      </w:r>
      <w:r w:rsidR="00D9287E">
        <w:t>ion de la résilience du système</w:t>
      </w:r>
      <w:r w:rsidR="003D187E">
        <w:t>)</w:t>
      </w:r>
      <w:r w:rsidR="00AB1AE7">
        <w:t>.</w:t>
      </w:r>
    </w:p>
    <w:p w:rsidR="00D9287E" w:rsidRPr="00D9287E" w:rsidRDefault="003D187E" w:rsidP="00D9287E">
      <w:pPr>
        <w:jc w:val="both"/>
        <w:rPr>
          <w:u w:val="single"/>
        </w:rPr>
      </w:pPr>
      <w:r>
        <w:rPr>
          <w:u w:val="single"/>
        </w:rPr>
        <w:t>1/ Les c</w:t>
      </w:r>
      <w:r w:rsidR="00D9287E" w:rsidRPr="00D9287E">
        <w:rPr>
          <w:u w:val="single"/>
        </w:rPr>
        <w:t>aractéristiques des fermes</w:t>
      </w:r>
      <w:r>
        <w:rPr>
          <w:u w:val="single"/>
        </w:rPr>
        <w:t xml:space="preserve"> wallonnes</w:t>
      </w:r>
    </w:p>
    <w:p w:rsidR="00B95D87" w:rsidRPr="00B95F20" w:rsidRDefault="003D187E" w:rsidP="005E6445">
      <w:pPr>
        <w:jc w:val="both"/>
        <w:rPr>
          <w:i/>
        </w:rPr>
      </w:pPr>
      <w:r w:rsidRPr="0011294D">
        <w:t xml:space="preserve">Les fermes enquêtées sont très diversifiées, tant au niveau des combinaisons d’espèces que </w:t>
      </w:r>
      <w:r w:rsidR="00F84469">
        <w:t xml:space="preserve">de la </w:t>
      </w:r>
      <w:r w:rsidR="00B95F20">
        <w:t xml:space="preserve">taille de l’exploitation et la </w:t>
      </w:r>
      <w:r w:rsidR="00F84469">
        <w:t>configuration de leur assolement</w:t>
      </w:r>
      <w:r w:rsidR="00CA49C7">
        <w:t xml:space="preserve">. L’allocation des terres est essentiellement orientée vers l’alimentation des troupeaux. </w:t>
      </w:r>
      <w:r w:rsidR="00CA49C7" w:rsidRPr="00E3666E">
        <w:t xml:space="preserve">Un des éleveurs </w:t>
      </w:r>
      <w:r w:rsidR="00E3666E" w:rsidRPr="00E3666E">
        <w:t>rencontré</w:t>
      </w:r>
      <w:r w:rsidR="00E3666E">
        <w:t>s</w:t>
      </w:r>
      <w:r w:rsidR="00E3666E" w:rsidRPr="00E3666E">
        <w:t xml:space="preserve"> </w:t>
      </w:r>
      <w:r w:rsidR="00CA49C7" w:rsidRPr="00E3666E">
        <w:t xml:space="preserve">adapte les espèces présentes sur la ferme et la taille des troupeaux </w:t>
      </w:r>
      <w:r w:rsidR="007024E0" w:rsidRPr="00E3666E">
        <w:t xml:space="preserve">aux </w:t>
      </w:r>
      <w:r w:rsidR="006B4DCE" w:rsidRPr="00E3666E">
        <w:t>stocks</w:t>
      </w:r>
      <w:r w:rsidR="00E3666E" w:rsidRPr="00E3666E">
        <w:t xml:space="preserve"> alimentaires produits sur l’exploitation</w:t>
      </w:r>
      <w:r w:rsidR="006B4DCE" w:rsidRPr="00E3666E">
        <w:t xml:space="preserve"> </w:t>
      </w:r>
      <w:r w:rsidR="00CA49C7" w:rsidRPr="00E3666E">
        <w:t xml:space="preserve">pour tendre vers une autonomie alimentaire complète. D’autres éleveurs adaptent la race choisie (critère de </w:t>
      </w:r>
      <w:r w:rsidR="00CA49C7" w:rsidRPr="00E3666E">
        <w:lastRenderedPageBreak/>
        <w:t xml:space="preserve">rusticité) au sein d’une espèce pour qu’elle soit la </w:t>
      </w:r>
      <w:r w:rsidR="00A02801" w:rsidRPr="00E3666E">
        <w:t>mieux adaptée</w:t>
      </w:r>
      <w:r w:rsidR="00CA49C7" w:rsidRPr="00E3666E">
        <w:t xml:space="preserve"> à la nature grossière des fourrages </w:t>
      </w:r>
      <w:r w:rsidR="004E3C02" w:rsidRPr="004E3C02">
        <w:rPr>
          <w:noProof/>
          <w:lang w:eastAsia="fr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456565</wp:posOffset>
            </wp:positionV>
            <wp:extent cx="5760720" cy="2626995"/>
            <wp:effectExtent l="0" t="0" r="0" b="1905"/>
            <wp:wrapTight wrapText="bothSides">
              <wp:wrapPolygon edited="0">
                <wp:start x="0" y="0"/>
                <wp:lineTo x="0" y="21459"/>
                <wp:lineTo x="19857" y="21459"/>
                <wp:lineTo x="21429" y="21146"/>
                <wp:lineTo x="21500" y="20049"/>
                <wp:lineTo x="20714" y="20049"/>
                <wp:lineTo x="21500" y="19266"/>
                <wp:lineTo x="21500" y="15820"/>
                <wp:lineTo x="21071" y="15037"/>
                <wp:lineTo x="21500" y="14880"/>
                <wp:lineTo x="21500" y="7675"/>
                <wp:lineTo x="20929" y="7518"/>
                <wp:lineTo x="21500" y="6735"/>
                <wp:lineTo x="21500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2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3666E" w:rsidRPr="00E3666E">
        <w:t>fournis</w:t>
      </w:r>
      <w:r w:rsidR="00CA49C7" w:rsidRPr="00E3666E">
        <w:t xml:space="preserve"> (prairie naturelle)</w:t>
      </w:r>
      <w:r w:rsidR="00E3666E" w:rsidRPr="00E3666E">
        <w:t>.</w:t>
      </w:r>
    </w:p>
    <w:p w:rsidR="00F84469" w:rsidRPr="004E3C02" w:rsidRDefault="00EE0AFE" w:rsidP="005E6445">
      <w:pPr>
        <w:jc w:val="both"/>
        <w:rPr>
          <w:sz w:val="16"/>
          <w:szCs w:val="16"/>
        </w:rPr>
      </w:pPr>
      <w:r w:rsidRPr="004E3C02">
        <w:rPr>
          <w:noProof/>
          <w:sz w:val="16"/>
          <w:szCs w:val="16"/>
          <w:lang w:eastAsia="fr-BE"/>
        </w:rPr>
        <w:t xml:space="preserve">BL : bovin laitier - BV : bovin viande – OV : ovin viande – PC : poulet de chair - Po : porc – PP : poule pondeuse </w:t>
      </w:r>
    </w:p>
    <w:p w:rsidR="00B95D87" w:rsidRDefault="0019373F" w:rsidP="005E6445">
      <w:pPr>
        <w:jc w:val="both"/>
        <w:rPr>
          <w:u w:val="single"/>
        </w:rPr>
      </w:pPr>
      <w:r>
        <w:rPr>
          <w:u w:val="single"/>
        </w:rPr>
        <w:t>L’</w:t>
      </w:r>
      <w:proofErr w:type="spellStart"/>
      <w:r>
        <w:rPr>
          <w:u w:val="single"/>
        </w:rPr>
        <w:t>agribiodiversité</w:t>
      </w:r>
      <w:proofErr w:type="spellEnd"/>
      <w:r w:rsidR="00706327">
        <w:rPr>
          <w:u w:val="single"/>
        </w:rPr>
        <w:t xml:space="preserve"> identifiée</w:t>
      </w:r>
      <w:r w:rsidR="00B96988">
        <w:rPr>
          <w:u w:val="single"/>
        </w:rPr>
        <w:t xml:space="preserve"> et les bénéfices retirés</w:t>
      </w:r>
    </w:p>
    <w:p w:rsidR="00B95F20" w:rsidRPr="0069513E" w:rsidRDefault="00B95F20" w:rsidP="005E6445">
      <w:pPr>
        <w:jc w:val="both"/>
      </w:pPr>
      <w:r w:rsidRPr="0069513E">
        <w:t>Dans les fermes rencontrées, l’</w:t>
      </w:r>
      <w:proofErr w:type="spellStart"/>
      <w:r w:rsidRPr="0069513E">
        <w:t>agrobiodiversité</w:t>
      </w:r>
      <w:proofErr w:type="spellEnd"/>
      <w:r w:rsidRPr="0069513E">
        <w:t xml:space="preserve"> tient tant du mélange des espèces (</w:t>
      </w:r>
      <w:r w:rsidR="00706327" w:rsidRPr="0069513E">
        <w:t xml:space="preserve">diversité interspécifique) que du mélange des races au sein d’une espèce (diversité </w:t>
      </w:r>
      <w:proofErr w:type="spellStart"/>
      <w:r w:rsidR="00706327" w:rsidRPr="0069513E">
        <w:t>intraspécifique</w:t>
      </w:r>
      <w:proofErr w:type="spellEnd"/>
      <w:r w:rsidR="00706327" w:rsidRPr="0069513E">
        <w:t>)</w:t>
      </w:r>
    </w:p>
    <w:p w:rsidR="007E5CF6" w:rsidRDefault="00474FD5" w:rsidP="005E6445">
      <w:pPr>
        <w:jc w:val="both"/>
      </w:pPr>
      <w:r>
        <w:t xml:space="preserve">L’enquête a permis d’identifier </w:t>
      </w:r>
      <w:r w:rsidR="007E5CF6">
        <w:t xml:space="preserve">les raisons qui </w:t>
      </w:r>
      <w:proofErr w:type="spellStart"/>
      <w:r w:rsidR="007E5CF6">
        <w:t>soutendent</w:t>
      </w:r>
      <w:proofErr w:type="spellEnd"/>
      <w:r w:rsidR="007E5CF6">
        <w:t xml:space="preserve"> l’association de différentes espèces au sein d’une ferme :</w:t>
      </w:r>
    </w:p>
    <w:p w:rsidR="007E5CF6" w:rsidRDefault="00907F86" w:rsidP="00402461">
      <w:pPr>
        <w:pStyle w:val="Paragraphedeliste"/>
        <w:numPr>
          <w:ilvl w:val="0"/>
          <w:numId w:val="1"/>
        </w:numPr>
        <w:jc w:val="both"/>
      </w:pPr>
      <w:r>
        <w:t>Sécurisation du</w:t>
      </w:r>
      <w:r w:rsidR="007E5CF6">
        <w:t xml:space="preserve"> revenu de la ferme en diversifiant les produits animaux issus de l’activité agricole (lait, animaux vivants, produits transformés …) ;</w:t>
      </w:r>
    </w:p>
    <w:p w:rsidR="007E5CF6" w:rsidRDefault="00907F86" w:rsidP="00402461">
      <w:pPr>
        <w:pStyle w:val="Paragraphedeliste"/>
        <w:numPr>
          <w:ilvl w:val="0"/>
          <w:numId w:val="1"/>
        </w:numPr>
        <w:jc w:val="both"/>
      </w:pPr>
      <w:r>
        <w:t>Création d’</w:t>
      </w:r>
      <w:r w:rsidR="007E5CF6">
        <w:t>un revenu additionnel pour pouvoir accueillir une personne (conjoint, enfant …) à la ferme ;</w:t>
      </w:r>
    </w:p>
    <w:p w:rsidR="007E5CF6" w:rsidRDefault="00907F86" w:rsidP="00402461">
      <w:pPr>
        <w:pStyle w:val="Paragraphedeliste"/>
        <w:numPr>
          <w:ilvl w:val="0"/>
          <w:numId w:val="1"/>
        </w:numPr>
        <w:jc w:val="both"/>
      </w:pPr>
      <w:r>
        <w:t xml:space="preserve">Complémentarités techniques : </w:t>
      </w:r>
      <w:r w:rsidR="00B77431">
        <w:t>le cas de porc</w:t>
      </w:r>
      <w:r w:rsidR="005F791D">
        <w:t>s</w:t>
      </w:r>
      <w:r w:rsidR="00B77431">
        <w:t xml:space="preserve"> nourris au lactosérum ou sous-produit de laiterie, </w:t>
      </w:r>
      <w:r w:rsidR="005F791D">
        <w:t>le cas de</w:t>
      </w:r>
      <w:r w:rsidR="00B95F20">
        <w:t xml:space="preserve"> fumures de qualité</w:t>
      </w:r>
      <w:r w:rsidR="005F791D">
        <w:t>s</w:t>
      </w:r>
      <w:r w:rsidR="00B95F20">
        <w:t xml:space="preserve"> différentes pour amender les cultures ;</w:t>
      </w:r>
    </w:p>
    <w:p w:rsidR="00907F86" w:rsidRDefault="00907F86" w:rsidP="00402461">
      <w:pPr>
        <w:pStyle w:val="Paragraphedeliste"/>
        <w:numPr>
          <w:ilvl w:val="0"/>
          <w:numId w:val="1"/>
        </w:numPr>
        <w:jc w:val="both"/>
      </w:pPr>
      <w:r>
        <w:t xml:space="preserve">Combinaison entre une espèce orientée production </w:t>
      </w:r>
      <w:r w:rsidR="00F115FF">
        <w:t xml:space="preserve">(vache laitière par ex.) </w:t>
      </w:r>
      <w:r>
        <w:t>et une espèce orientée service (</w:t>
      </w:r>
      <w:r w:rsidR="00F115FF">
        <w:t>race rustique ovine) pour l’entretien de zones à haute valeur écologique.</w:t>
      </w:r>
    </w:p>
    <w:p w:rsidR="008B704F" w:rsidRDefault="0069513E" w:rsidP="005E6445">
      <w:pPr>
        <w:jc w:val="both"/>
      </w:pPr>
      <w:r>
        <w:t xml:space="preserve">D’autres éleveurs associent différentes races au sein d’une même espèce, en vue de tirer profit de leur spécificité. Ainsi dans une des fermes, </w:t>
      </w:r>
      <w:r w:rsidR="00375486">
        <w:t>4 races de vaches laitières sont élevées dont les différentes qualités de lait permettent d’obtenir des fromages de qualité</w:t>
      </w:r>
      <w:r w:rsidR="00E3666E">
        <w:t>s</w:t>
      </w:r>
      <w:r w:rsidR="00375486">
        <w:t xml:space="preserve"> différentes</w:t>
      </w:r>
      <w:r w:rsidR="00A02801">
        <w:t>.</w:t>
      </w:r>
    </w:p>
    <w:p w:rsidR="00B95D87" w:rsidRDefault="00E77CDD" w:rsidP="005E6445">
      <w:pPr>
        <w:jc w:val="both"/>
        <w:rPr>
          <w:u w:val="single"/>
        </w:rPr>
      </w:pPr>
      <w:r>
        <w:rPr>
          <w:u w:val="single"/>
        </w:rPr>
        <w:t>Gestionnaires et pratiques</w:t>
      </w:r>
    </w:p>
    <w:p w:rsidR="008B704F" w:rsidRDefault="008B704F" w:rsidP="00DA72C8">
      <w:pPr>
        <w:jc w:val="both"/>
      </w:pPr>
      <w:r w:rsidRPr="00724F08">
        <w:t xml:space="preserve">Pour </w:t>
      </w:r>
      <w:r w:rsidR="00724F08">
        <w:t xml:space="preserve">gérer les différentes espèces, l’agriculteur peut mener différents types de conduite : </w:t>
      </w:r>
      <w:r w:rsidR="00E3666E">
        <w:t>soit totalement disjointe</w:t>
      </w:r>
      <w:r w:rsidR="00DA72C8">
        <w:t xml:space="preserve"> sans interactions entre les ateliers d’élevage</w:t>
      </w:r>
      <w:r w:rsidR="00E3666E">
        <w:t>,</w:t>
      </w:r>
      <w:r w:rsidR="00DA72C8">
        <w:t xml:space="preserve"> </w:t>
      </w:r>
      <w:r w:rsidR="00B832E4">
        <w:t>soit imbriquée. Dans le cas des fermes wallonnes enquêtées, 44 % des agriculteurs développent des actions d’intégration entre ateliers d’élevage :</w:t>
      </w:r>
    </w:p>
    <w:p w:rsidR="00B832E4" w:rsidRDefault="00B832E4" w:rsidP="00B832E4">
      <w:pPr>
        <w:pStyle w:val="Paragraphedeliste"/>
        <w:numPr>
          <w:ilvl w:val="0"/>
          <w:numId w:val="1"/>
        </w:numPr>
        <w:jc w:val="both"/>
      </w:pPr>
      <w:r>
        <w:t xml:space="preserve">Par le </w:t>
      </w:r>
      <w:proofErr w:type="spellStart"/>
      <w:r>
        <w:t>co</w:t>
      </w:r>
      <w:proofErr w:type="spellEnd"/>
      <w:r>
        <w:t xml:space="preserve">-pâturage : </w:t>
      </w:r>
      <w:proofErr w:type="spellStart"/>
      <w:r w:rsidR="00124686">
        <w:t>co</w:t>
      </w:r>
      <w:proofErr w:type="spellEnd"/>
      <w:r w:rsidR="00124686">
        <w:t>-pâturage alterne des ovins et des bovins ou des bovins sur parcours de volailles lors du vide sanitaire et de la pé</w:t>
      </w:r>
      <w:r w:rsidR="00D152ED">
        <w:t>riode d’emplument des poussins. Cette pratique permet d’améliorer l’efficience d’utilisation de la pâture,</w:t>
      </w:r>
    </w:p>
    <w:p w:rsidR="00B95D87" w:rsidRDefault="00124686" w:rsidP="005E6445">
      <w:pPr>
        <w:pStyle w:val="Paragraphedeliste"/>
        <w:numPr>
          <w:ilvl w:val="0"/>
          <w:numId w:val="1"/>
        </w:numPr>
        <w:jc w:val="both"/>
      </w:pPr>
      <w:r>
        <w:t xml:space="preserve">Par la valorisation du </w:t>
      </w:r>
      <w:proofErr w:type="spellStart"/>
      <w:r>
        <w:t>co-produit</w:t>
      </w:r>
      <w:proofErr w:type="spellEnd"/>
      <w:r>
        <w:t xml:space="preserve"> d’un atelier par un autre atelier (cas de l’utilisation du lactosérum </w:t>
      </w:r>
      <w:r w:rsidR="003440B2">
        <w:t>valorisé dans l’atelier porcin</w:t>
      </w:r>
      <w:r>
        <w:t>)</w:t>
      </w:r>
      <w:r w:rsidR="00A02801">
        <w:t>.</w:t>
      </w:r>
    </w:p>
    <w:p w:rsidR="00D152ED" w:rsidRDefault="00D152ED" w:rsidP="00D152ED">
      <w:pPr>
        <w:jc w:val="both"/>
      </w:pPr>
      <w:r>
        <w:lastRenderedPageBreak/>
        <w:t>Dans les semaines à venir, l’analyse</w:t>
      </w:r>
      <w:r w:rsidR="00B4182F">
        <w:t xml:space="preserve"> des données de l’enquête</w:t>
      </w:r>
      <w:r>
        <w:t xml:space="preserve"> permettra de savoir si la mixité des ateliers d’élevage permet d</w:t>
      </w:r>
      <w:r w:rsidR="00B4182F">
        <w:t>e stabiliser la situation financière des fermes et d’améliorer l’adaptation des fermes aux changements (fluctuation des prix, perturbations climatiques)</w:t>
      </w:r>
      <w:r w:rsidR="000277A2">
        <w:t>,</w:t>
      </w:r>
      <w:r w:rsidR="00B4182F">
        <w:t xml:space="preserve"> et sous quelles conditions ?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fr-FR" w:eastAsia="en-US"/>
        </w:rPr>
        <w:id w:val="-2130542986"/>
        <w:docPartObj>
          <w:docPartGallery w:val="Bibliographies"/>
          <w:docPartUnique/>
        </w:docPartObj>
      </w:sdtPr>
      <w:sdtEndPr>
        <w:rPr>
          <w:lang w:val="fr-BE"/>
        </w:rPr>
      </w:sdtEndPr>
      <w:sdtContent>
        <w:p w:rsidR="00AE2614" w:rsidRDefault="00AE2614">
          <w:pPr>
            <w:pStyle w:val="Titre1"/>
          </w:pPr>
          <w:r>
            <w:rPr>
              <w:lang w:val="fr-FR"/>
            </w:rPr>
            <w:t>Bibliographie</w:t>
          </w:r>
        </w:p>
        <w:sdt>
          <w:sdtPr>
            <w:id w:val="111145805"/>
            <w:bibliography/>
          </w:sdtPr>
          <w:sdtEndPr/>
          <w:sdtContent>
            <w:p w:rsidR="00A34C4B" w:rsidRDefault="00AE2614" w:rsidP="00A34C4B">
              <w:pPr>
                <w:pStyle w:val="Bibliographie"/>
                <w:ind w:left="720" w:hanging="720"/>
                <w:jc w:val="both"/>
                <w:rPr>
                  <w:noProof/>
                  <w:sz w:val="24"/>
                  <w:szCs w:val="24"/>
                  <w:lang w:val="fr-FR"/>
                </w:rPr>
              </w:pPr>
              <w:r>
                <w:fldChar w:fldCharType="begin"/>
              </w:r>
              <w:r>
                <w:instrText>BIBLIOGRAPHY</w:instrText>
              </w:r>
              <w:r>
                <w:fldChar w:fldCharType="separate"/>
              </w:r>
              <w:r w:rsidR="00A34C4B">
                <w:rPr>
                  <w:noProof/>
                  <w:lang w:val="fr-FR"/>
                </w:rPr>
                <w:t xml:space="preserve">CALAY, V., RONDIA, P., &amp; BURNY, P. (2020). Les futurs incertains de l’élevage bovin en Wallonie. </w:t>
              </w:r>
              <w:r w:rsidR="00A34C4B">
                <w:rPr>
                  <w:i/>
                  <w:iCs/>
                  <w:noProof/>
                  <w:lang w:val="fr-FR"/>
                </w:rPr>
                <w:t>Cahier de prospective de l'IWEPS n°3</w:t>
              </w:r>
              <w:r w:rsidR="00A34C4B">
                <w:rPr>
                  <w:noProof/>
                  <w:lang w:val="fr-FR"/>
                </w:rPr>
                <w:t>, 1-42.</w:t>
              </w:r>
            </w:p>
            <w:p w:rsidR="00A34C4B" w:rsidRDefault="00A34C4B" w:rsidP="00A34C4B">
              <w:pPr>
                <w:pStyle w:val="Bibliographie"/>
                <w:ind w:left="720" w:hanging="720"/>
                <w:jc w:val="both"/>
                <w:rPr>
                  <w:noProof/>
                  <w:lang w:val="fr-FR"/>
                </w:rPr>
              </w:pPr>
              <w:r>
                <w:rPr>
                  <w:noProof/>
                  <w:lang w:val="fr-FR"/>
                </w:rPr>
                <w:t xml:space="preserve">MAGNE, M., NOZIERES-PETIT, M., CONUT, S., OLLION, E., L., P., RENAUDEAU, D., &amp; FORTUN-LAMOTHE, L. (2019). Gérer la diversité animale dans les systèmes d'élevage: laquelle, comment et pour quels bénéfices. </w:t>
              </w:r>
              <w:r>
                <w:rPr>
                  <w:i/>
                  <w:iCs/>
                  <w:noProof/>
                  <w:lang w:val="fr-FR"/>
                </w:rPr>
                <w:t>INRA Prod. Anim., 32 (2)</w:t>
              </w:r>
              <w:r>
                <w:rPr>
                  <w:noProof/>
                  <w:lang w:val="fr-FR"/>
                </w:rPr>
                <w:t>, 263-290.</w:t>
              </w:r>
            </w:p>
            <w:p w:rsidR="00A34C4B" w:rsidRDefault="00A34C4B" w:rsidP="00A34C4B">
              <w:pPr>
                <w:pStyle w:val="Bibliographie"/>
                <w:ind w:left="720" w:hanging="720"/>
                <w:jc w:val="both"/>
                <w:rPr>
                  <w:noProof/>
                  <w:lang w:val="fr-FR"/>
                </w:rPr>
              </w:pPr>
              <w:r>
                <w:rPr>
                  <w:noProof/>
                  <w:lang w:val="fr-FR"/>
                </w:rPr>
                <w:t xml:space="preserve">THOMAS, M., FORTUN-LAMOTHE, L., JOVEN, M., TICHIT, M., GONZALEZ-GARCIA, E., DOURMAD, J. Y., &amp; DUMONT, B. (2014). Agro-écologie et écologie industrielle: deux alternatives complémentaires pour les systèmes d’élevage de demain. </w:t>
              </w:r>
              <w:r>
                <w:rPr>
                  <w:i/>
                  <w:iCs/>
                  <w:noProof/>
                  <w:lang w:val="fr-FR"/>
                </w:rPr>
                <w:t>Numéro spécial, Quelles innovations pour quels systèmes d’élevage?</w:t>
              </w:r>
              <w:r>
                <w:rPr>
                  <w:noProof/>
                  <w:lang w:val="fr-FR"/>
                </w:rPr>
                <w:t>, 89-100.</w:t>
              </w:r>
            </w:p>
            <w:p w:rsidR="00A34C4B" w:rsidRDefault="00A34C4B" w:rsidP="00A34C4B">
              <w:pPr>
                <w:pStyle w:val="Bibliographie"/>
                <w:ind w:left="720" w:hanging="720"/>
                <w:jc w:val="both"/>
                <w:rPr>
                  <w:noProof/>
                  <w:lang w:val="fr-FR"/>
                </w:rPr>
              </w:pPr>
              <w:r>
                <w:rPr>
                  <w:noProof/>
                  <w:lang w:val="fr-FR"/>
                </w:rPr>
                <w:t xml:space="preserve">WEINER, J. (2003). Ecology - the science of agriculture in the 21st century. </w:t>
              </w:r>
              <w:r>
                <w:rPr>
                  <w:i/>
                  <w:iCs/>
                  <w:noProof/>
                  <w:lang w:val="fr-FR"/>
                </w:rPr>
                <w:t>Agricult. Sci., 141</w:t>
              </w:r>
              <w:r>
                <w:rPr>
                  <w:noProof/>
                  <w:lang w:val="fr-FR"/>
                </w:rPr>
                <w:t>, 371-377.</w:t>
              </w:r>
            </w:p>
            <w:p w:rsidR="00AE2614" w:rsidRPr="00D225AC" w:rsidRDefault="00AE2614" w:rsidP="00A34C4B">
              <w:pPr>
                <w:pStyle w:val="Bibliographie"/>
                <w:ind w:left="720" w:hanging="720"/>
                <w:rPr>
                  <w:noProof/>
                  <w:lang w:val="fr-FR"/>
                </w:rPr>
              </w:pPr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:rsidR="00AE2614" w:rsidRDefault="00AE2614" w:rsidP="00D152ED">
      <w:pPr>
        <w:jc w:val="both"/>
      </w:pPr>
    </w:p>
    <w:p w:rsidR="00B95D87" w:rsidRDefault="00B95D87" w:rsidP="005E6445">
      <w:pPr>
        <w:jc w:val="both"/>
        <w:rPr>
          <w:u w:val="single"/>
        </w:rPr>
      </w:pPr>
    </w:p>
    <w:p w:rsidR="00B95D87" w:rsidRDefault="00B95D87" w:rsidP="005E6445">
      <w:pPr>
        <w:jc w:val="both"/>
        <w:rPr>
          <w:u w:val="single"/>
        </w:rPr>
      </w:pPr>
    </w:p>
    <w:p w:rsidR="00B95D87" w:rsidRDefault="00B95D87" w:rsidP="005E6445">
      <w:pPr>
        <w:jc w:val="both"/>
        <w:rPr>
          <w:u w:val="single"/>
        </w:rPr>
      </w:pPr>
    </w:p>
    <w:p w:rsidR="00B95D87" w:rsidRDefault="00B95D87" w:rsidP="005E6445">
      <w:pPr>
        <w:jc w:val="both"/>
        <w:rPr>
          <w:u w:val="single"/>
        </w:rPr>
      </w:pPr>
    </w:p>
    <w:p w:rsidR="00B95D87" w:rsidRDefault="00B95D87" w:rsidP="005E6445">
      <w:pPr>
        <w:jc w:val="both"/>
        <w:rPr>
          <w:u w:val="single"/>
        </w:rPr>
      </w:pPr>
    </w:p>
    <w:p w:rsidR="00B95D87" w:rsidRDefault="00B95D87" w:rsidP="005E6445">
      <w:pPr>
        <w:jc w:val="both"/>
        <w:rPr>
          <w:u w:val="single"/>
        </w:rPr>
      </w:pPr>
    </w:p>
    <w:p w:rsidR="004C7786" w:rsidRDefault="004C7786" w:rsidP="005E6445">
      <w:pPr>
        <w:jc w:val="both"/>
      </w:pPr>
    </w:p>
    <w:p w:rsidR="005D1ACB" w:rsidRPr="009A07E1" w:rsidRDefault="005D1ACB" w:rsidP="004A2605"/>
    <w:p w:rsidR="005D1ACB" w:rsidRPr="009A07E1" w:rsidRDefault="005D1ACB" w:rsidP="004A2605"/>
    <w:p w:rsidR="005D1ACB" w:rsidRDefault="005D1ACB" w:rsidP="004A2605"/>
    <w:sectPr w:rsidR="005D1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DBF" w:rsidRDefault="00E14DBF" w:rsidP="001A1D17">
      <w:pPr>
        <w:spacing w:after="0" w:line="240" w:lineRule="auto"/>
      </w:pPr>
      <w:r>
        <w:separator/>
      </w:r>
    </w:p>
  </w:endnote>
  <w:endnote w:type="continuationSeparator" w:id="0">
    <w:p w:rsidR="00E14DBF" w:rsidRDefault="00E14DBF" w:rsidP="001A1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DBF" w:rsidRDefault="00E14DBF" w:rsidP="001A1D17">
      <w:pPr>
        <w:spacing w:after="0" w:line="240" w:lineRule="auto"/>
      </w:pPr>
      <w:r>
        <w:separator/>
      </w:r>
    </w:p>
  </w:footnote>
  <w:footnote w:type="continuationSeparator" w:id="0">
    <w:p w:rsidR="00E14DBF" w:rsidRDefault="00E14DBF" w:rsidP="001A1D17">
      <w:pPr>
        <w:spacing w:after="0" w:line="240" w:lineRule="auto"/>
      </w:pPr>
      <w:r>
        <w:continuationSeparator/>
      </w:r>
    </w:p>
  </w:footnote>
  <w:footnote w:id="1">
    <w:p w:rsidR="00717A94" w:rsidRDefault="00717A94" w:rsidP="00B95F20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</w:t>
      </w:r>
      <w:proofErr w:type="spellStart"/>
      <w:r>
        <w:t>MIXEd</w:t>
      </w:r>
      <w:proofErr w:type="spellEnd"/>
      <w:r>
        <w:t xml:space="preserve"> </w:t>
      </w:r>
      <w:proofErr w:type="spellStart"/>
      <w:r>
        <w:t>livestock</w:t>
      </w:r>
      <w:proofErr w:type="spellEnd"/>
      <w:r>
        <w:t xml:space="preserve"> </w:t>
      </w:r>
      <w:proofErr w:type="spellStart"/>
      <w:r>
        <w:t>farming</w:t>
      </w:r>
      <w:proofErr w:type="spellEnd"/>
      <w:r>
        <w:t xml:space="preserve"> for </w:t>
      </w:r>
      <w:proofErr w:type="spellStart"/>
      <w:r>
        <w:t>improved</w:t>
      </w:r>
      <w:proofErr w:type="spellEnd"/>
      <w:r>
        <w:t xml:space="preserve"> </w:t>
      </w:r>
      <w:proofErr w:type="spellStart"/>
      <w:r>
        <w:t>sustaiNABiLity</w:t>
      </w:r>
      <w:proofErr w:type="spellEnd"/>
      <w:r>
        <w:t xml:space="preserve"> and </w:t>
      </w:r>
      <w:proofErr w:type="spellStart"/>
      <w:r>
        <w:t>robustnEss</w:t>
      </w:r>
      <w:proofErr w:type="spellEnd"/>
      <w:r>
        <w:t xml:space="preserve"> of </w:t>
      </w:r>
      <w:proofErr w:type="spellStart"/>
      <w:r>
        <w:t>organic</w:t>
      </w:r>
      <w:proofErr w:type="spellEnd"/>
      <w:r>
        <w:t xml:space="preserve"> </w:t>
      </w:r>
      <w:proofErr w:type="spellStart"/>
      <w:r>
        <w:t>livestock</w:t>
      </w:r>
      <w:proofErr w:type="spellEnd"/>
    </w:p>
  </w:footnote>
  <w:footnote w:id="2">
    <w:p w:rsidR="00E3666E" w:rsidRDefault="00E3666E">
      <w:pPr>
        <w:pStyle w:val="Notedebasdepage"/>
      </w:pPr>
      <w:r>
        <w:rPr>
          <w:rStyle w:val="Appelnotedebasdep"/>
        </w:rPr>
        <w:footnoteRef/>
      </w:r>
      <w:r>
        <w:t xml:space="preserve"> Les niveaux de diversité relevés au travers de l’enquête concernent le troupeau et le système d’élevage.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47DDA"/>
    <w:multiLevelType w:val="hybridMultilevel"/>
    <w:tmpl w:val="0A107386"/>
    <w:lvl w:ilvl="0" w:tplc="11C2B9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605"/>
    <w:rsid w:val="0000464D"/>
    <w:rsid w:val="000277A2"/>
    <w:rsid w:val="0008579E"/>
    <w:rsid w:val="0009106E"/>
    <w:rsid w:val="000C7140"/>
    <w:rsid w:val="000D314C"/>
    <w:rsid w:val="000E247F"/>
    <w:rsid w:val="000E6227"/>
    <w:rsid w:val="0011294D"/>
    <w:rsid w:val="00124686"/>
    <w:rsid w:val="0019373F"/>
    <w:rsid w:val="001A1D17"/>
    <w:rsid w:val="001B2EE9"/>
    <w:rsid w:val="00257272"/>
    <w:rsid w:val="00281635"/>
    <w:rsid w:val="002B715C"/>
    <w:rsid w:val="002F4218"/>
    <w:rsid w:val="00306645"/>
    <w:rsid w:val="003440B2"/>
    <w:rsid w:val="003532CB"/>
    <w:rsid w:val="003631A0"/>
    <w:rsid w:val="00375486"/>
    <w:rsid w:val="00385BD4"/>
    <w:rsid w:val="003D187E"/>
    <w:rsid w:val="003D570B"/>
    <w:rsid w:val="00427263"/>
    <w:rsid w:val="00443BC2"/>
    <w:rsid w:val="00474FD5"/>
    <w:rsid w:val="004A2605"/>
    <w:rsid w:val="004B4B0D"/>
    <w:rsid w:val="004C7786"/>
    <w:rsid w:val="004D618C"/>
    <w:rsid w:val="004E3C02"/>
    <w:rsid w:val="004F662C"/>
    <w:rsid w:val="00524AC0"/>
    <w:rsid w:val="00575454"/>
    <w:rsid w:val="005B4EEF"/>
    <w:rsid w:val="005D1ACB"/>
    <w:rsid w:val="005D3B89"/>
    <w:rsid w:val="005E6445"/>
    <w:rsid w:val="005F791D"/>
    <w:rsid w:val="006112CB"/>
    <w:rsid w:val="00661C26"/>
    <w:rsid w:val="006716FE"/>
    <w:rsid w:val="0069513E"/>
    <w:rsid w:val="006B4DCE"/>
    <w:rsid w:val="006D2B19"/>
    <w:rsid w:val="007024E0"/>
    <w:rsid w:val="00706327"/>
    <w:rsid w:val="00717A94"/>
    <w:rsid w:val="00724F08"/>
    <w:rsid w:val="007800C3"/>
    <w:rsid w:val="007A167C"/>
    <w:rsid w:val="007E5CF6"/>
    <w:rsid w:val="007E5F47"/>
    <w:rsid w:val="007E6F9D"/>
    <w:rsid w:val="008469D0"/>
    <w:rsid w:val="00882822"/>
    <w:rsid w:val="008B704F"/>
    <w:rsid w:val="008B7418"/>
    <w:rsid w:val="008D20C1"/>
    <w:rsid w:val="008E7CF2"/>
    <w:rsid w:val="009039B9"/>
    <w:rsid w:val="00907F86"/>
    <w:rsid w:val="009217A2"/>
    <w:rsid w:val="00941C1A"/>
    <w:rsid w:val="009820DA"/>
    <w:rsid w:val="00991DE8"/>
    <w:rsid w:val="009A07E1"/>
    <w:rsid w:val="00A02801"/>
    <w:rsid w:val="00A34C4B"/>
    <w:rsid w:val="00A60DD7"/>
    <w:rsid w:val="00AB1AE7"/>
    <w:rsid w:val="00AE2614"/>
    <w:rsid w:val="00B4182F"/>
    <w:rsid w:val="00B77431"/>
    <w:rsid w:val="00B832E4"/>
    <w:rsid w:val="00B95D87"/>
    <w:rsid w:val="00B95F20"/>
    <w:rsid w:val="00B96988"/>
    <w:rsid w:val="00C62FB2"/>
    <w:rsid w:val="00CA49C7"/>
    <w:rsid w:val="00CB746A"/>
    <w:rsid w:val="00CF4FE3"/>
    <w:rsid w:val="00D152ED"/>
    <w:rsid w:val="00D225AC"/>
    <w:rsid w:val="00D26175"/>
    <w:rsid w:val="00D83B13"/>
    <w:rsid w:val="00D9287E"/>
    <w:rsid w:val="00DA72C8"/>
    <w:rsid w:val="00DE1EBF"/>
    <w:rsid w:val="00E1081C"/>
    <w:rsid w:val="00E14DBF"/>
    <w:rsid w:val="00E1725A"/>
    <w:rsid w:val="00E3666E"/>
    <w:rsid w:val="00E6626F"/>
    <w:rsid w:val="00E72C1C"/>
    <w:rsid w:val="00E77CDD"/>
    <w:rsid w:val="00ED6C31"/>
    <w:rsid w:val="00EE0AFE"/>
    <w:rsid w:val="00F115FF"/>
    <w:rsid w:val="00F62B92"/>
    <w:rsid w:val="00F75A44"/>
    <w:rsid w:val="00F84469"/>
    <w:rsid w:val="00F8721F"/>
    <w:rsid w:val="00FE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85237"/>
  <w15:chartTrackingRefBased/>
  <w15:docId w15:val="{E25E226F-ADAB-4133-A41D-456D4BA98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E26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A1D1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A1D1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A1D17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B95D87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AE261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BE"/>
    </w:rPr>
  </w:style>
  <w:style w:type="paragraph" w:styleId="Bibliographie">
    <w:name w:val="Bibliography"/>
    <w:basedOn w:val="Normal"/>
    <w:next w:val="Normal"/>
    <w:uiPriority w:val="37"/>
    <w:unhideWhenUsed/>
    <w:rsid w:val="00AE2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MAG19</b:Tag>
    <b:SourceType>JournalArticle</b:SourceType>
    <b:Guid>{95C79DF8-CA90-43AA-9CEA-65BB1627C148}</b:Guid>
    <b:Author>
      <b:Author>
        <b:NameList>
          <b:Person>
            <b:Last>MAGNE</b:Last>
            <b:First>M.A.</b:First>
          </b:Person>
          <b:Person>
            <b:Last>NOZIERES-PETIT</b:Last>
            <b:First>M.O.</b:First>
          </b:Person>
          <b:Person>
            <b:Last>CONUT</b:Last>
            <b:First>S.</b:First>
          </b:Person>
          <b:Person>
            <b:Last>OLLION</b:Last>
            <b:First>E.</b:First>
          </b:Person>
          <b:Person>
            <b:Last>L.</b:Last>
            <b:First>PUILLET</b:First>
          </b:Person>
          <b:Person>
            <b:Last>RENAUDEAU</b:Last>
            <b:First>D.</b:First>
          </b:Person>
          <b:Person>
            <b:Last>FORTUN-LAMOTHE</b:Last>
            <b:First>L.</b:First>
          </b:Person>
        </b:NameList>
      </b:Author>
    </b:Author>
    <b:Title>Gérer la diversité animale dans les systèmes d'élevage: laquelle, comment et pour quels bénéfices</b:Title>
    <b:JournalName>INRA Prod. Anim., 32 (2)</b:JournalName>
    <b:Year>2019</b:Year>
    <b:Pages>263-290</b:Pages>
    <b:RefOrder>4</b:RefOrder>
  </b:Source>
  <b:Source>
    <b:Tag>Wei03</b:Tag>
    <b:SourceType>JournalArticle</b:SourceType>
    <b:Guid>{0BA9E841-5CCC-4BDB-A640-3D8E341428F6}</b:Guid>
    <b:Author>
      <b:Author>
        <b:NameList>
          <b:Person>
            <b:Last>WEINER</b:Last>
            <b:First>J.</b:First>
          </b:Person>
        </b:NameList>
      </b:Author>
    </b:Author>
    <b:Title>Ecology - the science of agriculture in the 21st century</b:Title>
    <b:Year>2003</b:Year>
    <b:JournalName>Agricult. Sci., 141</b:JournalName>
    <b:Pages>371-377</b:Pages>
    <b:RefOrder>2</b:RefOrder>
  </b:Source>
  <b:Source>
    <b:Tag>CAL20</b:Tag>
    <b:SourceType>JournalArticle</b:SourceType>
    <b:Guid>{C2C24655-D048-47BA-B8A8-6D19490A0DE0}</b:Guid>
    <b:Author>
      <b:Author>
        <b:NameList>
          <b:Person>
            <b:Last>CALAY</b:Last>
            <b:First>V.</b:First>
          </b:Person>
          <b:Person>
            <b:Last>RONDIA</b:Last>
            <b:First>P.</b:First>
          </b:Person>
          <b:Person>
            <b:Last>BURNY</b:Last>
            <b:First>P.</b:First>
          </b:Person>
        </b:NameList>
      </b:Author>
    </b:Author>
    <b:Title>Les futurs incertains de l’élevage bovin en Wallonie</b:Title>
    <b:Year>2020</b:Year>
    <b:Publisher>Institut wallon de l'évaluation, de la prosepctive et de la statistique (IWEPS)</b:Publisher>
    <b:JournalName>Cahier de prospective de l'IWEPS n°3</b:JournalName>
    <b:Pages>1-42</b:Pages>
    <b:RefOrder>1</b:RefOrder>
  </b:Source>
  <b:Source>
    <b:Tag>Tho14</b:Tag>
    <b:SourceType>JournalArticle</b:SourceType>
    <b:Guid>{81B59ED5-2545-42EF-8BFC-5A19BA13B6A9}</b:Guid>
    <b:Author>
      <b:Author>
        <b:NameList>
          <b:Person>
            <b:Last>THOMAS</b:Last>
            <b:First>M.</b:First>
          </b:Person>
          <b:Person>
            <b:Last>FORTUN-LAMOTHE</b:Last>
            <b:First>L.</b:First>
          </b:Person>
          <b:Person>
            <b:Last>JOVEN</b:Last>
            <b:First>M.</b:First>
          </b:Person>
          <b:Person>
            <b:Last>TICHIT</b:Last>
            <b:First>M.</b:First>
          </b:Person>
          <b:Person>
            <b:Last>GONZALEZ-GARCIA</b:Last>
            <b:First>E.</b:First>
          </b:Person>
          <b:Person>
            <b:Last>DOURMAD</b:Last>
            <b:First>J.</b:First>
            <b:Middle>Y.</b:Middle>
          </b:Person>
          <b:Person>
            <b:Last>DUMONT</b:Last>
            <b:First>B.</b:First>
          </b:Person>
        </b:NameList>
      </b:Author>
    </b:Author>
    <b:Title>Agro-écologie et écologie industrielle: deux alternatives complémentaires pour les systèmes d’élevage de demain</b:Title>
    <b:Year>2014</b:Year>
    <b:JournalName>Numéro spécial, Quelles innovations pour quels systèmes d’élevage?</b:JournalName>
    <b:Pages>89-100</b:Pages>
    <b:RefOrder>3</b:RefOrder>
  </b:Source>
</b:Sources>
</file>

<file path=customXml/itemProps1.xml><?xml version="1.0" encoding="utf-8"?>
<ds:datastoreItem xmlns:ds="http://schemas.openxmlformats.org/officeDocument/2006/customXml" ds:itemID="{51A46533-160C-4D82-A897-F98D3E95A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5066</TotalTime>
  <Pages>3</Pages>
  <Words>1057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bgda.cra.wallonie.be</Company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MOERMAN</dc:creator>
  <cp:keywords/>
  <dc:description/>
  <cp:lastModifiedBy>Marie MOERMAN</cp:lastModifiedBy>
  <cp:revision>22</cp:revision>
  <dcterms:created xsi:type="dcterms:W3CDTF">2020-07-21T10:56:00Z</dcterms:created>
  <dcterms:modified xsi:type="dcterms:W3CDTF">2020-08-22T21:54:00Z</dcterms:modified>
</cp:coreProperties>
</file>