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CF" w:rsidRPr="00B53576" w:rsidRDefault="001546CF" w:rsidP="001546CF">
      <w:pPr>
        <w:pStyle w:val="berschrift2"/>
        <w:rPr>
          <w:rFonts w:asciiTheme="minorHAnsi" w:hAnsiTheme="minorHAnsi"/>
          <w:color w:val="1F497D" w:themeColor="text2"/>
          <w:sz w:val="24"/>
          <w:szCs w:val="24"/>
          <w:lang w:val="de-DE"/>
        </w:rPr>
      </w:pPr>
      <w:bookmarkStart w:id="0" w:name="_GoBack"/>
      <w:bookmarkEnd w:id="0"/>
      <w:r w:rsidRPr="00B53576">
        <w:rPr>
          <w:rFonts w:asciiTheme="minorHAnsi" w:hAnsiTheme="minorHAnsi"/>
          <w:color w:val="1F497D" w:themeColor="text2"/>
          <w:sz w:val="24"/>
          <w:szCs w:val="24"/>
          <w:lang w:val="de-DE"/>
        </w:rPr>
        <w:t>Vermarktung</w:t>
      </w:r>
    </w:p>
    <w:p w:rsidR="001546CF" w:rsidRPr="00796A56" w:rsidRDefault="00C713E2" w:rsidP="001546CF">
      <w:pPr>
        <w:rPr>
          <w:b/>
          <w:color w:val="76C141"/>
          <w:sz w:val="36"/>
          <w:szCs w:val="36"/>
          <w:lang w:val="de-DE"/>
        </w:rPr>
      </w:pPr>
      <w:r>
        <w:rPr>
          <w:b/>
          <w:color w:val="76C141"/>
          <w:sz w:val="36"/>
          <w:szCs w:val="36"/>
          <w:lang w:val="de-DE"/>
        </w:rPr>
        <w:t xml:space="preserve">Welche </w:t>
      </w:r>
      <w:r w:rsidR="007B7F77" w:rsidRPr="00796A56">
        <w:rPr>
          <w:b/>
          <w:color w:val="76C141"/>
          <w:sz w:val="36"/>
          <w:szCs w:val="36"/>
          <w:lang w:val="de-DE"/>
        </w:rPr>
        <w:t>Bedeutung hat Regionalität für Konsumenten, denen Öko</w:t>
      </w:r>
      <w:r w:rsidR="004843BD" w:rsidRPr="00796A56">
        <w:rPr>
          <w:b/>
          <w:color w:val="76C141"/>
          <w:sz w:val="36"/>
          <w:szCs w:val="36"/>
          <w:lang w:val="de-DE"/>
        </w:rPr>
        <w:t>-Lebensmittel wichtig sind</w:t>
      </w:r>
      <w:r>
        <w:rPr>
          <w:b/>
          <w:color w:val="76C141"/>
          <w:sz w:val="36"/>
          <w:szCs w:val="36"/>
          <w:lang w:val="de-DE"/>
        </w:rPr>
        <w:t>?</w:t>
      </w:r>
    </w:p>
    <w:p w:rsidR="001546CF" w:rsidRDefault="00B53576" w:rsidP="00B53576">
      <w:pPr>
        <w:rPr>
          <w:b/>
          <w:color w:val="1F497D" w:themeColor="text2"/>
          <w:lang w:val="de-DE"/>
        </w:rPr>
      </w:pPr>
      <w:r w:rsidRPr="00796A56">
        <w:rPr>
          <w:b/>
          <w:color w:val="76C141"/>
          <w:lang w:val="de-DE"/>
        </w:rPr>
        <w:t xml:space="preserve">Eine aktuelle Studie im Auftrag des </w:t>
      </w:r>
      <w:r w:rsidR="005A43C0" w:rsidRPr="00796A56">
        <w:rPr>
          <w:b/>
          <w:color w:val="76C141"/>
          <w:lang w:val="de-DE"/>
        </w:rPr>
        <w:t>BMEL</w:t>
      </w:r>
      <w:r w:rsidR="000F6436" w:rsidRPr="00796A56">
        <w:rPr>
          <w:b/>
          <w:color w:val="76C141"/>
          <w:lang w:val="de-DE"/>
        </w:rPr>
        <w:t xml:space="preserve">, gefördert im Rahmen des Bundesprogramms für Ökologischen Landbau und andere Formen nachhaltiger Landwirtschaft (Projekt-Nr. 2812OE028), </w:t>
      </w:r>
      <w:r w:rsidRPr="00796A56">
        <w:rPr>
          <w:b/>
          <w:color w:val="76C141"/>
          <w:lang w:val="de-DE"/>
        </w:rPr>
        <w:t>untersucht die Einstellung</w:t>
      </w:r>
      <w:r w:rsidR="000F6436" w:rsidRPr="00796A56">
        <w:rPr>
          <w:b/>
          <w:color w:val="76C141"/>
          <w:lang w:val="de-DE"/>
        </w:rPr>
        <w:t>en</w:t>
      </w:r>
      <w:r w:rsidRPr="00796A56">
        <w:rPr>
          <w:b/>
          <w:color w:val="76C141"/>
          <w:lang w:val="de-DE"/>
        </w:rPr>
        <w:t xml:space="preserve"> und das Verhalten von Konsumenten in Hinblick auf </w:t>
      </w:r>
      <w:r w:rsidR="006E7BFB" w:rsidRPr="00796A56">
        <w:rPr>
          <w:b/>
          <w:color w:val="76C141"/>
          <w:lang w:val="de-DE"/>
        </w:rPr>
        <w:t xml:space="preserve">den Kauf von </w:t>
      </w:r>
      <w:r w:rsidRPr="00796A56">
        <w:rPr>
          <w:b/>
          <w:color w:val="76C141"/>
          <w:lang w:val="de-DE"/>
        </w:rPr>
        <w:t>regionale</w:t>
      </w:r>
      <w:r w:rsidR="006E7BFB" w:rsidRPr="00796A56">
        <w:rPr>
          <w:b/>
          <w:color w:val="76C141"/>
          <w:lang w:val="de-DE"/>
        </w:rPr>
        <w:t>n</w:t>
      </w:r>
      <w:r w:rsidRPr="00796A56">
        <w:rPr>
          <w:b/>
          <w:color w:val="76C141"/>
          <w:lang w:val="de-DE"/>
        </w:rPr>
        <w:t xml:space="preserve"> und ökologische</w:t>
      </w:r>
      <w:r w:rsidR="006E7BFB" w:rsidRPr="00796A56">
        <w:rPr>
          <w:b/>
          <w:color w:val="76C141"/>
          <w:lang w:val="de-DE"/>
        </w:rPr>
        <w:t>n</w:t>
      </w:r>
      <w:r w:rsidRPr="00796A56">
        <w:rPr>
          <w:b/>
          <w:color w:val="76C141"/>
          <w:lang w:val="de-DE"/>
        </w:rPr>
        <w:t xml:space="preserve"> Produkte</w:t>
      </w:r>
      <w:r w:rsidR="006E7BFB" w:rsidRPr="00796A56">
        <w:rPr>
          <w:b/>
          <w:color w:val="76C141"/>
          <w:lang w:val="de-DE"/>
        </w:rPr>
        <w:t>n</w:t>
      </w:r>
      <w:r w:rsidRPr="00796A56">
        <w:rPr>
          <w:b/>
          <w:color w:val="76C141"/>
          <w:lang w:val="de-DE"/>
        </w:rPr>
        <w:t xml:space="preserve">. </w:t>
      </w:r>
      <w:r w:rsidR="005A43C0" w:rsidRPr="00796A56">
        <w:rPr>
          <w:b/>
          <w:color w:val="76C141"/>
          <w:lang w:val="de-DE"/>
        </w:rPr>
        <w:t xml:space="preserve">Konsumenten, die angeben, dass ihnen die ökologische Produktion von Lebensmitteln wichtig </w:t>
      </w:r>
      <w:r w:rsidR="0079688C">
        <w:rPr>
          <w:b/>
          <w:color w:val="76C141"/>
          <w:lang w:val="de-DE"/>
        </w:rPr>
        <w:t>ist</w:t>
      </w:r>
      <w:r w:rsidR="005A43C0" w:rsidRPr="00796A56">
        <w:rPr>
          <w:b/>
          <w:color w:val="76C141"/>
          <w:lang w:val="de-DE"/>
        </w:rPr>
        <w:t xml:space="preserve">, präferieren </w:t>
      </w:r>
      <w:r w:rsidR="00267B94" w:rsidRPr="00796A56">
        <w:rPr>
          <w:b/>
          <w:color w:val="76C141"/>
          <w:lang w:val="de-DE"/>
        </w:rPr>
        <w:t xml:space="preserve"> jedoch</w:t>
      </w:r>
      <w:r w:rsidR="00391371" w:rsidRPr="00796A56">
        <w:rPr>
          <w:b/>
          <w:color w:val="76C141"/>
          <w:lang w:val="de-DE"/>
        </w:rPr>
        <w:t xml:space="preserve"> </w:t>
      </w:r>
      <w:r w:rsidR="005A43C0" w:rsidRPr="00796A56">
        <w:rPr>
          <w:b/>
          <w:color w:val="76C141"/>
          <w:lang w:val="de-DE"/>
        </w:rPr>
        <w:t xml:space="preserve">durchaus </w:t>
      </w:r>
      <w:r w:rsidR="00391371" w:rsidRPr="00796A56">
        <w:rPr>
          <w:b/>
          <w:color w:val="76C141"/>
          <w:lang w:val="de-DE"/>
        </w:rPr>
        <w:t>Lebensmittel</w:t>
      </w:r>
      <w:r w:rsidR="00267B94" w:rsidRPr="00796A56">
        <w:rPr>
          <w:b/>
          <w:color w:val="76C141"/>
          <w:lang w:val="de-DE"/>
        </w:rPr>
        <w:t xml:space="preserve"> </w:t>
      </w:r>
      <w:r w:rsidR="00B53824" w:rsidRPr="00796A56">
        <w:rPr>
          <w:b/>
          <w:color w:val="76C141"/>
          <w:lang w:val="de-DE"/>
        </w:rPr>
        <w:t>aus der Region und aus Deutschland</w:t>
      </w:r>
      <w:r w:rsidR="00267B94" w:rsidRPr="00796A56">
        <w:rPr>
          <w:b/>
          <w:color w:val="76C141"/>
          <w:lang w:val="de-DE"/>
        </w:rPr>
        <w:t xml:space="preserve"> </w:t>
      </w:r>
      <w:r w:rsidR="005A43C0" w:rsidRPr="00796A56">
        <w:rPr>
          <w:b/>
          <w:color w:val="76C141"/>
          <w:lang w:val="de-DE"/>
        </w:rPr>
        <w:t xml:space="preserve">gegenüber </w:t>
      </w:r>
      <w:r w:rsidR="00267B94" w:rsidRPr="00796A56">
        <w:rPr>
          <w:b/>
          <w:color w:val="76C141"/>
          <w:lang w:val="de-DE"/>
        </w:rPr>
        <w:t>ökologischen Produkt</w:t>
      </w:r>
      <w:r w:rsidR="00391371" w:rsidRPr="00796A56">
        <w:rPr>
          <w:b/>
          <w:color w:val="76C141"/>
          <w:lang w:val="de-DE"/>
        </w:rPr>
        <w:t>en</w:t>
      </w:r>
      <w:r w:rsidR="00267B94" w:rsidRPr="00796A56">
        <w:rPr>
          <w:b/>
          <w:color w:val="76C141"/>
          <w:lang w:val="de-DE"/>
        </w:rPr>
        <w:t>.</w:t>
      </w:r>
      <w:r w:rsidRPr="00796A56">
        <w:rPr>
          <w:b/>
          <w:color w:val="76C141"/>
          <w:lang w:val="de-DE"/>
        </w:rPr>
        <w:t xml:space="preserve"> </w:t>
      </w:r>
    </w:p>
    <w:p w:rsidR="00796A56" w:rsidRPr="00796A56" w:rsidRDefault="00796A56" w:rsidP="00796A56">
      <w:pPr>
        <w:spacing w:after="0"/>
        <w:rPr>
          <w:b/>
          <w:color w:val="1F497D" w:themeColor="text2"/>
          <w:lang w:val="de-DE"/>
        </w:rPr>
      </w:pPr>
      <w:r>
        <w:rPr>
          <w:b/>
          <w:color w:val="1F497D" w:themeColor="text2"/>
          <w:lang w:val="de-DE"/>
        </w:rPr>
        <w:t xml:space="preserve">Bedeutung der </w:t>
      </w:r>
      <w:r w:rsidRPr="00796A56">
        <w:rPr>
          <w:b/>
          <w:color w:val="1F497D" w:themeColor="text2"/>
          <w:lang w:val="de-DE"/>
        </w:rPr>
        <w:t>regionale</w:t>
      </w:r>
      <w:r>
        <w:rPr>
          <w:b/>
          <w:color w:val="1F497D" w:themeColor="text2"/>
          <w:lang w:val="de-DE"/>
        </w:rPr>
        <w:t>n</w:t>
      </w:r>
      <w:r w:rsidRPr="00796A56">
        <w:rPr>
          <w:b/>
          <w:color w:val="1F497D" w:themeColor="text2"/>
          <w:lang w:val="de-DE"/>
        </w:rPr>
        <w:t xml:space="preserve"> Herkunft </w:t>
      </w:r>
      <w:r>
        <w:rPr>
          <w:b/>
          <w:color w:val="1F497D" w:themeColor="text2"/>
          <w:lang w:val="de-DE"/>
        </w:rPr>
        <w:t>für Öko-Konsumenten</w:t>
      </w:r>
    </w:p>
    <w:p w:rsidR="005A43C0" w:rsidRDefault="005A43C0" w:rsidP="001546CF">
      <w:pPr>
        <w:rPr>
          <w:color w:val="1F497D" w:themeColor="text2"/>
          <w:lang w:val="de-DE"/>
        </w:rPr>
      </w:pPr>
      <w:r w:rsidRPr="005A43C0">
        <w:rPr>
          <w:color w:val="1F497D" w:themeColor="text2"/>
          <w:lang w:val="de-DE"/>
        </w:rPr>
        <w:t xml:space="preserve">In einer </w:t>
      </w:r>
      <w:r w:rsidR="00C713E2">
        <w:rPr>
          <w:color w:val="1F497D" w:themeColor="text2"/>
          <w:lang w:val="de-DE"/>
        </w:rPr>
        <w:t xml:space="preserve">2013 durchgeführten </w:t>
      </w:r>
      <w:r w:rsidR="009B3F4E">
        <w:rPr>
          <w:color w:val="1F497D" w:themeColor="text2"/>
          <w:lang w:val="de-DE"/>
        </w:rPr>
        <w:t>Studie</w:t>
      </w:r>
      <w:r w:rsidRPr="005A43C0">
        <w:rPr>
          <w:color w:val="1F497D" w:themeColor="text2"/>
          <w:lang w:val="de-DE"/>
        </w:rPr>
        <w:t xml:space="preserve"> </w:t>
      </w:r>
      <w:r w:rsidR="009B3F4E">
        <w:rPr>
          <w:color w:val="1F497D" w:themeColor="text2"/>
          <w:lang w:val="de-DE"/>
        </w:rPr>
        <w:t xml:space="preserve">wurden 641 Konsumenten im Lebensmitteleinzelhandel befragt; Teil dieser Befragung war ein </w:t>
      </w:r>
      <w:r w:rsidRPr="005A43C0">
        <w:rPr>
          <w:color w:val="1F497D" w:themeColor="text2"/>
          <w:lang w:val="de-DE"/>
        </w:rPr>
        <w:t xml:space="preserve">Kaufexperiment </w:t>
      </w:r>
      <w:r w:rsidR="009B3F4E">
        <w:rPr>
          <w:color w:val="1F497D" w:themeColor="text2"/>
          <w:lang w:val="de-DE"/>
        </w:rPr>
        <w:t xml:space="preserve">mit Äpfeln, Butter, Mehl und Steaks. Aus diesen </w:t>
      </w:r>
      <w:r w:rsidRPr="005A43C0">
        <w:rPr>
          <w:color w:val="1F497D" w:themeColor="text2"/>
          <w:lang w:val="de-DE"/>
        </w:rPr>
        <w:t xml:space="preserve">641 Konsumenten im Lebensmitteleinzelhandel wurden 211 Konsumenten identifiziert, </w:t>
      </w:r>
      <w:r w:rsidR="00A05519">
        <w:rPr>
          <w:color w:val="1F497D" w:themeColor="text2"/>
          <w:lang w:val="de-DE"/>
        </w:rPr>
        <w:t xml:space="preserve">die angaben, dass ihnen die </w:t>
      </w:r>
      <w:r w:rsidR="00384F25">
        <w:rPr>
          <w:color w:val="1F497D" w:themeColor="text2"/>
          <w:lang w:val="de-DE"/>
        </w:rPr>
        <w:t>ö</w:t>
      </w:r>
      <w:r w:rsidR="00A05519">
        <w:rPr>
          <w:color w:val="1F497D" w:themeColor="text2"/>
          <w:lang w:val="de-DE"/>
        </w:rPr>
        <w:t>kologische Produktion von Lebensmitteln wichtig</w:t>
      </w:r>
      <w:r w:rsidR="00C713E2">
        <w:rPr>
          <w:color w:val="1F497D" w:themeColor="text2"/>
          <w:lang w:val="de-DE"/>
        </w:rPr>
        <w:t xml:space="preserve"> bzw. sehr wichtig sei</w:t>
      </w:r>
      <w:r w:rsidR="00A05519">
        <w:rPr>
          <w:color w:val="1F497D" w:themeColor="text2"/>
          <w:lang w:val="de-DE"/>
        </w:rPr>
        <w:t xml:space="preserve">. </w:t>
      </w:r>
      <w:r w:rsidR="00B53824">
        <w:rPr>
          <w:color w:val="1F497D" w:themeColor="text2"/>
          <w:lang w:val="de-DE"/>
        </w:rPr>
        <w:t>Allerdings stufte n</w:t>
      </w:r>
      <w:r w:rsidR="00904B6E">
        <w:rPr>
          <w:color w:val="1F497D" w:themeColor="text2"/>
          <w:lang w:val="de-DE"/>
        </w:rPr>
        <w:t xml:space="preserve">ur </w:t>
      </w:r>
      <w:r w:rsidR="000B66C3">
        <w:rPr>
          <w:color w:val="1F497D" w:themeColor="text2"/>
          <w:lang w:val="de-DE"/>
        </w:rPr>
        <w:t>rund</w:t>
      </w:r>
      <w:r w:rsidR="00904B6E">
        <w:rPr>
          <w:color w:val="1F497D" w:themeColor="text2"/>
          <w:lang w:val="de-DE"/>
        </w:rPr>
        <w:t xml:space="preserve"> ein Drittel dieser Konsumenten die </w:t>
      </w:r>
      <w:r w:rsidR="00796A56">
        <w:rPr>
          <w:color w:val="1F497D" w:themeColor="text2"/>
          <w:lang w:val="de-DE"/>
        </w:rPr>
        <w:t>Bedeutung</w:t>
      </w:r>
      <w:r w:rsidR="00904B6E">
        <w:rPr>
          <w:color w:val="1F497D" w:themeColor="text2"/>
          <w:lang w:val="de-DE"/>
        </w:rPr>
        <w:t xml:space="preserve"> </w:t>
      </w:r>
      <w:r w:rsidR="0079688C">
        <w:rPr>
          <w:color w:val="1F497D" w:themeColor="text2"/>
          <w:lang w:val="de-DE"/>
        </w:rPr>
        <w:t>der</w:t>
      </w:r>
      <w:r w:rsidR="00904B6E">
        <w:rPr>
          <w:color w:val="1F497D" w:themeColor="text2"/>
          <w:lang w:val="de-DE"/>
        </w:rPr>
        <w:t xml:space="preserve"> Öko</w:t>
      </w:r>
      <w:r w:rsidR="0079688C">
        <w:rPr>
          <w:color w:val="1F497D" w:themeColor="text2"/>
          <w:lang w:val="de-DE"/>
        </w:rPr>
        <w:t>-Qualität</w:t>
      </w:r>
      <w:r w:rsidR="00904B6E">
        <w:rPr>
          <w:color w:val="1F497D" w:themeColor="text2"/>
          <w:lang w:val="de-DE"/>
        </w:rPr>
        <w:t xml:space="preserve"> höher ein als die </w:t>
      </w:r>
      <w:r w:rsidR="00796A56">
        <w:rPr>
          <w:color w:val="1F497D" w:themeColor="text2"/>
          <w:lang w:val="de-DE"/>
        </w:rPr>
        <w:t>Bedeutung</w:t>
      </w:r>
      <w:r w:rsidR="00904B6E">
        <w:rPr>
          <w:color w:val="1F497D" w:themeColor="text2"/>
          <w:lang w:val="de-DE"/>
        </w:rPr>
        <w:t xml:space="preserve"> der regionalen Herkunft</w:t>
      </w:r>
      <w:r w:rsidR="0079688C">
        <w:rPr>
          <w:color w:val="1F497D" w:themeColor="text2"/>
          <w:lang w:val="de-DE"/>
        </w:rPr>
        <w:t xml:space="preserve">; </w:t>
      </w:r>
      <w:r w:rsidR="00C713E2">
        <w:rPr>
          <w:color w:val="1F497D" w:themeColor="text2"/>
          <w:lang w:val="de-DE"/>
        </w:rPr>
        <w:t>39%</w:t>
      </w:r>
      <w:r w:rsidR="00384F25">
        <w:rPr>
          <w:color w:val="1F497D" w:themeColor="text2"/>
          <w:lang w:val="de-DE"/>
        </w:rPr>
        <w:t xml:space="preserve"> dieser Konsumenten empfanden beide Produktei</w:t>
      </w:r>
      <w:r>
        <w:rPr>
          <w:color w:val="1F497D" w:themeColor="text2"/>
          <w:lang w:val="de-DE"/>
        </w:rPr>
        <w:t xml:space="preserve">genschaften als gleich </w:t>
      </w:r>
      <w:proofErr w:type="gramStart"/>
      <w:r>
        <w:rPr>
          <w:color w:val="1F497D" w:themeColor="text2"/>
          <w:lang w:val="de-DE"/>
        </w:rPr>
        <w:t>wichtig</w:t>
      </w:r>
      <w:proofErr w:type="gramEnd"/>
      <w:r w:rsidR="000B66C3">
        <w:rPr>
          <w:color w:val="1F497D" w:themeColor="text2"/>
          <w:lang w:val="de-DE"/>
        </w:rPr>
        <w:t xml:space="preserve"> (Abbildung 1)</w:t>
      </w:r>
      <w:r>
        <w:rPr>
          <w:color w:val="1F497D" w:themeColor="text2"/>
          <w:lang w:val="de-DE"/>
        </w:rPr>
        <w:t>.</w:t>
      </w:r>
    </w:p>
    <w:p w:rsidR="00796A56" w:rsidRPr="00796A56" w:rsidRDefault="00796A56" w:rsidP="00796A56">
      <w:pPr>
        <w:spacing w:after="0"/>
        <w:rPr>
          <w:b/>
          <w:color w:val="1F497D" w:themeColor="text2"/>
          <w:lang w:val="de-DE"/>
        </w:rPr>
      </w:pPr>
      <w:r>
        <w:rPr>
          <w:b/>
          <w:color w:val="1F497D" w:themeColor="text2"/>
          <w:lang w:val="de-DE"/>
        </w:rPr>
        <w:t>Verhalten der Konsumenten beim Einkauf</w:t>
      </w:r>
    </w:p>
    <w:p w:rsidR="004843BD" w:rsidRDefault="008A2892" w:rsidP="004843BD">
      <w:pPr>
        <w:rPr>
          <w:color w:val="1F497D" w:themeColor="text2"/>
          <w:lang w:val="de-DE"/>
        </w:rPr>
      </w:pPr>
      <w:r>
        <w:rPr>
          <w:color w:val="1F497D" w:themeColor="text2"/>
          <w:lang w:val="de-DE"/>
        </w:rPr>
        <w:t xml:space="preserve">Die </w:t>
      </w:r>
      <w:r w:rsidR="00621FBD">
        <w:rPr>
          <w:color w:val="1F497D" w:themeColor="text2"/>
          <w:lang w:val="de-DE"/>
        </w:rPr>
        <w:t xml:space="preserve">211 </w:t>
      </w:r>
      <w:r w:rsidR="007B7F77">
        <w:rPr>
          <w:color w:val="1F497D" w:themeColor="text2"/>
          <w:lang w:val="de-DE"/>
        </w:rPr>
        <w:t>Konsumenten</w:t>
      </w:r>
      <w:r>
        <w:rPr>
          <w:color w:val="1F497D" w:themeColor="text2"/>
          <w:lang w:val="de-DE"/>
        </w:rPr>
        <w:t xml:space="preserve">, </w:t>
      </w:r>
      <w:r w:rsidR="007B7F77">
        <w:rPr>
          <w:color w:val="1F497D" w:themeColor="text2"/>
          <w:lang w:val="de-DE"/>
        </w:rPr>
        <w:t>die angaben, dass ihnen die ökologische Produktion wichtig sei</w:t>
      </w:r>
      <w:r>
        <w:rPr>
          <w:color w:val="1F497D" w:themeColor="text2"/>
          <w:lang w:val="de-DE"/>
        </w:rPr>
        <w:t xml:space="preserve">, </w:t>
      </w:r>
      <w:r w:rsidR="007B7F77">
        <w:rPr>
          <w:color w:val="1F497D" w:themeColor="text2"/>
          <w:lang w:val="de-DE"/>
        </w:rPr>
        <w:t>sind</w:t>
      </w:r>
      <w:r>
        <w:rPr>
          <w:color w:val="1F497D" w:themeColor="text2"/>
          <w:lang w:val="de-DE"/>
        </w:rPr>
        <w:t xml:space="preserve"> eher </w:t>
      </w:r>
      <w:r w:rsidR="007B7F77">
        <w:rPr>
          <w:color w:val="1F497D" w:themeColor="text2"/>
          <w:lang w:val="de-DE"/>
        </w:rPr>
        <w:t>älter und</w:t>
      </w:r>
      <w:r>
        <w:rPr>
          <w:color w:val="1F497D" w:themeColor="text2"/>
          <w:lang w:val="de-DE"/>
        </w:rPr>
        <w:t xml:space="preserve"> tendenziell </w:t>
      </w:r>
      <w:r w:rsidR="007B7F77">
        <w:rPr>
          <w:color w:val="1F497D" w:themeColor="text2"/>
          <w:lang w:val="de-DE"/>
        </w:rPr>
        <w:t>weiblich</w:t>
      </w:r>
      <w:r>
        <w:rPr>
          <w:color w:val="1F497D" w:themeColor="text2"/>
          <w:lang w:val="de-DE"/>
        </w:rPr>
        <w:t xml:space="preserve">. Sie </w:t>
      </w:r>
      <w:r w:rsidR="007B7F77">
        <w:rPr>
          <w:color w:val="1F497D" w:themeColor="text2"/>
          <w:lang w:val="de-DE"/>
        </w:rPr>
        <w:t>sind weniger</w:t>
      </w:r>
      <w:r>
        <w:rPr>
          <w:color w:val="1F497D" w:themeColor="text2"/>
          <w:lang w:val="de-DE"/>
        </w:rPr>
        <w:t xml:space="preserve"> preisbewusst ein und empfinden regionale und Öko-Produkte</w:t>
      </w:r>
      <w:r w:rsidR="007B7F77">
        <w:rPr>
          <w:color w:val="1F497D" w:themeColor="text2"/>
          <w:lang w:val="de-DE"/>
        </w:rPr>
        <w:t xml:space="preserve"> nicht</w:t>
      </w:r>
      <w:r>
        <w:rPr>
          <w:color w:val="1F497D" w:themeColor="text2"/>
          <w:lang w:val="de-DE"/>
        </w:rPr>
        <w:t xml:space="preserve"> als zu teuer. </w:t>
      </w:r>
      <w:r w:rsidR="007B7F77">
        <w:rPr>
          <w:color w:val="1F497D" w:themeColor="text2"/>
          <w:lang w:val="de-DE"/>
        </w:rPr>
        <w:t xml:space="preserve">Sie haben eine höhere Mehrzahlungsbereitschaft für ökologische Produkte als die </w:t>
      </w:r>
      <w:r w:rsidR="007D7B45">
        <w:rPr>
          <w:color w:val="1F497D" w:themeColor="text2"/>
          <w:lang w:val="de-DE"/>
        </w:rPr>
        <w:t>restlich</w:t>
      </w:r>
      <w:r w:rsidR="007B7F77">
        <w:rPr>
          <w:color w:val="1F497D" w:themeColor="text2"/>
          <w:lang w:val="de-DE"/>
        </w:rPr>
        <w:t>en Befragten</w:t>
      </w:r>
      <w:r w:rsidR="007D7B45">
        <w:rPr>
          <w:color w:val="1F497D" w:themeColor="text2"/>
          <w:lang w:val="de-DE"/>
        </w:rPr>
        <w:t xml:space="preserve">, allerdings ist diese </w:t>
      </w:r>
      <w:r w:rsidR="000B66C3">
        <w:rPr>
          <w:color w:val="1F497D" w:themeColor="text2"/>
          <w:lang w:val="de-DE"/>
        </w:rPr>
        <w:t xml:space="preserve">bei allen vier untersuchten Produkten (Abbildung 2)  </w:t>
      </w:r>
      <w:r w:rsidR="007D7B45">
        <w:rPr>
          <w:color w:val="1F497D" w:themeColor="text2"/>
          <w:lang w:val="de-DE"/>
        </w:rPr>
        <w:t xml:space="preserve">geringer </w:t>
      </w:r>
      <w:r w:rsidR="00056368">
        <w:rPr>
          <w:color w:val="1F497D" w:themeColor="text2"/>
          <w:lang w:val="de-DE"/>
        </w:rPr>
        <w:t xml:space="preserve">als </w:t>
      </w:r>
      <w:r w:rsidR="007D7B45">
        <w:rPr>
          <w:color w:val="1F497D" w:themeColor="text2"/>
          <w:lang w:val="de-DE"/>
        </w:rPr>
        <w:t xml:space="preserve">für </w:t>
      </w:r>
      <w:r w:rsidR="00EF3094">
        <w:rPr>
          <w:color w:val="1F497D" w:themeColor="text2"/>
          <w:lang w:val="de-DE"/>
        </w:rPr>
        <w:t>regionale Produkte</w:t>
      </w:r>
      <w:r w:rsidR="000B66C3">
        <w:rPr>
          <w:color w:val="1F497D" w:themeColor="text2"/>
          <w:lang w:val="de-DE"/>
        </w:rPr>
        <w:t>.</w:t>
      </w:r>
      <w:r w:rsidR="00EF3094">
        <w:rPr>
          <w:color w:val="1F497D" w:themeColor="text2"/>
          <w:lang w:val="de-DE"/>
        </w:rPr>
        <w:t xml:space="preserve">  </w:t>
      </w:r>
      <w:r w:rsidR="000B66C3">
        <w:rPr>
          <w:color w:val="1F497D" w:themeColor="text2"/>
          <w:lang w:val="de-DE"/>
        </w:rPr>
        <w:t xml:space="preserve">Interessant ist, dass für unverarbeitete frische Produkte </w:t>
      </w:r>
      <w:r w:rsidR="004D49D6">
        <w:rPr>
          <w:color w:val="1F497D" w:themeColor="text2"/>
          <w:lang w:val="de-DE"/>
        </w:rPr>
        <w:t>(Äpfel und Rindersteak)</w:t>
      </w:r>
      <w:r w:rsidR="000B66C3">
        <w:rPr>
          <w:color w:val="1F497D" w:themeColor="text2"/>
          <w:lang w:val="de-DE"/>
        </w:rPr>
        <w:t xml:space="preserve"> eine deutlich höhere Zahlungsbereitschaft für Produkte aus der Region besteht als für verarbeitete Produkte (Butter und Mehl). </w:t>
      </w:r>
      <w:r w:rsidR="00DD700F">
        <w:rPr>
          <w:color w:val="1F497D" w:themeColor="text2"/>
          <w:lang w:val="de-DE"/>
        </w:rPr>
        <w:t>Konsumenten</w:t>
      </w:r>
      <w:r w:rsidR="0079688C">
        <w:rPr>
          <w:color w:val="1F497D" w:themeColor="text2"/>
          <w:lang w:val="de-DE"/>
        </w:rPr>
        <w:t>,</w:t>
      </w:r>
      <w:r w:rsidR="00DD700F">
        <w:rPr>
          <w:color w:val="1F497D" w:themeColor="text2"/>
          <w:lang w:val="de-DE"/>
        </w:rPr>
        <w:t xml:space="preserve"> </w:t>
      </w:r>
      <w:r w:rsidR="0079688C">
        <w:rPr>
          <w:color w:val="1F497D" w:themeColor="text2"/>
          <w:lang w:val="de-DE"/>
        </w:rPr>
        <w:t xml:space="preserve">denen es wichtig ist ökologisch produzierte Lebensmittel zu kaufen, </w:t>
      </w:r>
      <w:r w:rsidR="00DD700F">
        <w:rPr>
          <w:color w:val="1F497D" w:themeColor="text2"/>
          <w:lang w:val="de-DE"/>
        </w:rPr>
        <w:t xml:space="preserve">sind erwartungsgemäß umwelt- und qualitätsbewusster. </w:t>
      </w:r>
      <w:r w:rsidR="009B3F4E">
        <w:rPr>
          <w:color w:val="1F497D" w:themeColor="text2"/>
          <w:lang w:val="de-DE"/>
        </w:rPr>
        <w:t>Sie wären</w:t>
      </w:r>
      <w:r w:rsidR="00DD700F">
        <w:rPr>
          <w:color w:val="1F497D" w:themeColor="text2"/>
          <w:lang w:val="de-DE"/>
        </w:rPr>
        <w:t xml:space="preserve"> bereit noch mehr für regionale Lebensmittel zu bezahlen, wenn diese offiziell und einheitlich kontrolliert werden würden. </w:t>
      </w:r>
      <w:r w:rsidR="00533B2E">
        <w:rPr>
          <w:color w:val="1F497D" w:themeColor="text2"/>
          <w:lang w:val="de-DE"/>
        </w:rPr>
        <w:t xml:space="preserve">Wenn das Angebot an regionalen </w:t>
      </w:r>
      <w:r w:rsidR="000F6436">
        <w:rPr>
          <w:color w:val="1F497D" w:themeColor="text2"/>
          <w:lang w:val="de-DE"/>
        </w:rPr>
        <w:t xml:space="preserve">und an ökologischen </w:t>
      </w:r>
      <w:r w:rsidR="00533B2E">
        <w:rPr>
          <w:color w:val="1F497D" w:themeColor="text2"/>
          <w:lang w:val="de-DE"/>
        </w:rPr>
        <w:t>Lebensmitteln größer wäre, w</w:t>
      </w:r>
      <w:r w:rsidR="009B3F4E">
        <w:rPr>
          <w:color w:val="1F497D" w:themeColor="text2"/>
          <w:lang w:val="de-DE"/>
        </w:rPr>
        <w:t>ürd</w:t>
      </w:r>
      <w:r w:rsidR="00533B2E">
        <w:rPr>
          <w:color w:val="1F497D" w:themeColor="text2"/>
          <w:lang w:val="de-DE"/>
        </w:rPr>
        <w:t>en die</w:t>
      </w:r>
      <w:r w:rsidR="00B53824">
        <w:rPr>
          <w:color w:val="1F497D" w:themeColor="text2"/>
          <w:lang w:val="de-DE"/>
        </w:rPr>
        <w:t>se</w:t>
      </w:r>
      <w:r w:rsidR="00533B2E">
        <w:rPr>
          <w:color w:val="1F497D" w:themeColor="text2"/>
          <w:lang w:val="de-DE"/>
        </w:rPr>
        <w:t xml:space="preserve"> Konsumenten </w:t>
      </w:r>
      <w:r w:rsidR="006901E5">
        <w:rPr>
          <w:color w:val="1F497D" w:themeColor="text2"/>
          <w:lang w:val="de-DE"/>
        </w:rPr>
        <w:t xml:space="preserve">mehr </w:t>
      </w:r>
      <w:r w:rsidR="000F6436">
        <w:rPr>
          <w:color w:val="1F497D" w:themeColor="text2"/>
          <w:lang w:val="de-DE"/>
        </w:rPr>
        <w:t xml:space="preserve">solcher Produkte </w:t>
      </w:r>
      <w:r w:rsidR="006901E5">
        <w:rPr>
          <w:color w:val="1F497D" w:themeColor="text2"/>
          <w:lang w:val="de-DE"/>
        </w:rPr>
        <w:t>kaufen.</w:t>
      </w:r>
      <w:r w:rsidR="005A43C0">
        <w:rPr>
          <w:color w:val="1F497D" w:themeColor="text2"/>
          <w:lang w:val="de-DE"/>
        </w:rPr>
        <w:t xml:space="preserve"> </w:t>
      </w:r>
      <w:r w:rsidR="0079688C">
        <w:rPr>
          <w:color w:val="1F497D" w:themeColor="text2"/>
          <w:lang w:val="de-DE"/>
        </w:rPr>
        <w:t xml:space="preserve">Sie </w:t>
      </w:r>
      <w:r w:rsidR="004843BD">
        <w:rPr>
          <w:color w:val="1F497D" w:themeColor="text2"/>
          <w:lang w:val="de-DE"/>
        </w:rPr>
        <w:t>kaufen regionale Lebensmittel häufiger in Bio-Supermärkten, in Naturkostläden, auf Wochenmärkten und direkt  beim Erzeuger als die anderen Konsumenten.</w:t>
      </w:r>
    </w:p>
    <w:p w:rsidR="00796A56" w:rsidRPr="00796A56" w:rsidRDefault="00796A56" w:rsidP="00796A56">
      <w:pPr>
        <w:spacing w:after="0"/>
        <w:rPr>
          <w:b/>
          <w:color w:val="1F497D" w:themeColor="text2"/>
          <w:lang w:val="de-DE"/>
        </w:rPr>
      </w:pPr>
      <w:r w:rsidRPr="00796A56">
        <w:rPr>
          <w:b/>
          <w:color w:val="1F497D" w:themeColor="text2"/>
          <w:lang w:val="de-DE"/>
        </w:rPr>
        <w:t>Fazit</w:t>
      </w:r>
    </w:p>
    <w:p w:rsidR="006901E5" w:rsidRPr="00DD700F" w:rsidRDefault="004843BD" w:rsidP="001546CF">
      <w:pPr>
        <w:rPr>
          <w:color w:val="1F497D" w:themeColor="text2"/>
          <w:lang w:val="de-DE"/>
        </w:rPr>
        <w:sectPr w:rsidR="006901E5" w:rsidRPr="00DD700F" w:rsidSect="001546CF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>
        <w:rPr>
          <w:color w:val="1F497D" w:themeColor="text2"/>
          <w:lang w:val="de-DE"/>
        </w:rPr>
        <w:t xml:space="preserve">Die Ergebnisse dieser Studie zeigen, dass Konsumenten in Bezug auf ihre Präferenzen für Öko-Lebensmittel und regionale Lebensmittel nicht einfach in zwei entsprechende Gruppen eingeteilt werden können. </w:t>
      </w:r>
      <w:r w:rsidR="00741F55">
        <w:rPr>
          <w:color w:val="1F497D" w:themeColor="text2"/>
          <w:lang w:val="de-DE"/>
        </w:rPr>
        <w:t xml:space="preserve">Konsumenten, denen die ökologische Produktion nicht wichtig ist, haben auch ein geringeres Interesse an der regionalen Herkunft der Lebensmittel. </w:t>
      </w:r>
      <w:r>
        <w:rPr>
          <w:color w:val="1F497D" w:themeColor="text2"/>
          <w:lang w:val="de-DE"/>
        </w:rPr>
        <w:t xml:space="preserve">Konsumenten, denen ökologische Lebensmittel wichtig sind, präferieren </w:t>
      </w:r>
      <w:r w:rsidR="00741F55">
        <w:rPr>
          <w:color w:val="1F497D" w:themeColor="text2"/>
          <w:lang w:val="de-DE"/>
        </w:rPr>
        <w:t>hingegen</w:t>
      </w:r>
      <w:r>
        <w:rPr>
          <w:color w:val="1F497D" w:themeColor="text2"/>
          <w:lang w:val="de-DE"/>
        </w:rPr>
        <w:t xml:space="preserve"> Lebensmittel, die aus der Region oder aus Deutschland kommen, </w:t>
      </w:r>
      <w:r w:rsidR="0079688C">
        <w:rPr>
          <w:color w:val="1F497D" w:themeColor="text2"/>
          <w:lang w:val="de-DE"/>
        </w:rPr>
        <w:t xml:space="preserve">häufig </w:t>
      </w:r>
      <w:r>
        <w:rPr>
          <w:color w:val="1F497D" w:themeColor="text2"/>
          <w:lang w:val="de-DE"/>
        </w:rPr>
        <w:t>sogar stärker als ökologisch</w:t>
      </w:r>
      <w:r w:rsidR="00796A56">
        <w:rPr>
          <w:color w:val="1F497D" w:themeColor="text2"/>
          <w:lang w:val="de-DE"/>
        </w:rPr>
        <w:t xml:space="preserve"> produzierte</w:t>
      </w:r>
      <w:r>
        <w:rPr>
          <w:color w:val="1F497D" w:themeColor="text2"/>
          <w:lang w:val="de-DE"/>
        </w:rPr>
        <w:t xml:space="preserve">. </w:t>
      </w:r>
      <w:r w:rsidR="00741F55">
        <w:rPr>
          <w:color w:val="1F497D" w:themeColor="text2"/>
          <w:lang w:val="de-DE"/>
        </w:rPr>
        <w:t>Öko-Anbieter tuen also gut daran, möglichst viele Öko-Produkte aus der Region anzubieten, auch wenn deren Preise deutlich höher sind als für Produkte aus dem Ausland.</w:t>
      </w:r>
    </w:p>
    <w:p w:rsidR="006901E5" w:rsidRDefault="006901E5" w:rsidP="006901E5">
      <w:pPr>
        <w:pStyle w:val="Beschriftung"/>
        <w:keepNext/>
        <w:rPr>
          <w:lang w:val="de-DE"/>
        </w:rPr>
      </w:pPr>
    </w:p>
    <w:p w:rsidR="000343AF" w:rsidRPr="00796A56" w:rsidRDefault="000343AF" w:rsidP="000343AF">
      <w:pPr>
        <w:pStyle w:val="Beschriftung"/>
        <w:keepNext/>
        <w:spacing w:after="0"/>
        <w:rPr>
          <w:color w:val="76C141"/>
          <w:lang w:val="de-DE"/>
        </w:rPr>
      </w:pPr>
      <w:r w:rsidRPr="00796A56">
        <w:rPr>
          <w:color w:val="76C141"/>
          <w:lang w:val="de-DE"/>
        </w:rPr>
        <w:t xml:space="preserve">Abbildung </w:t>
      </w:r>
      <w:r w:rsidRPr="00796A56">
        <w:rPr>
          <w:color w:val="76C141"/>
        </w:rPr>
        <w:fldChar w:fldCharType="begin"/>
      </w:r>
      <w:r w:rsidRPr="00796A56">
        <w:rPr>
          <w:color w:val="76C141"/>
          <w:lang w:val="de-DE"/>
        </w:rPr>
        <w:instrText xml:space="preserve"> SEQ Abbildung \* ARABIC </w:instrText>
      </w:r>
      <w:r w:rsidRPr="00796A56">
        <w:rPr>
          <w:color w:val="76C141"/>
        </w:rPr>
        <w:fldChar w:fldCharType="separate"/>
      </w:r>
      <w:r w:rsidR="00EF3094">
        <w:rPr>
          <w:noProof/>
          <w:color w:val="76C141"/>
          <w:lang w:val="de-DE"/>
        </w:rPr>
        <w:t>1</w:t>
      </w:r>
      <w:r w:rsidRPr="00796A56">
        <w:rPr>
          <w:color w:val="76C141"/>
        </w:rPr>
        <w:fldChar w:fldCharType="end"/>
      </w:r>
      <w:r w:rsidR="005A43C0" w:rsidRPr="00796A56">
        <w:rPr>
          <w:color w:val="76C141"/>
          <w:lang w:val="de-DE"/>
        </w:rPr>
        <w:t>: Die Bewertung der regionalen Herkunft von Lebensmitteln durch die Konsumenten, denen die ökologische Produktion wichtig ist.</w:t>
      </w:r>
    </w:p>
    <w:p w:rsidR="00621FBD" w:rsidRDefault="00621FBD" w:rsidP="00621FBD">
      <w:pPr>
        <w:rPr>
          <w:lang w:val="de-DE"/>
        </w:rPr>
      </w:pPr>
      <w:r>
        <w:rPr>
          <w:noProof/>
          <w:lang w:eastAsia="en-GB"/>
        </w:rPr>
        <w:drawing>
          <wp:inline distT="0" distB="0" distL="0" distR="0" wp14:anchorId="7122D004" wp14:editId="29F457C0">
            <wp:extent cx="4572000" cy="2743200"/>
            <wp:effectExtent l="0" t="0" r="0" b="0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3094" w:rsidRPr="00EF3094" w:rsidRDefault="00EF3094" w:rsidP="00EF3094">
      <w:pPr>
        <w:pStyle w:val="Beschriftung"/>
        <w:keepNext/>
        <w:rPr>
          <w:color w:val="80C358"/>
          <w:lang w:val="de-DE"/>
        </w:rPr>
      </w:pPr>
      <w:r w:rsidRPr="00EF3094">
        <w:rPr>
          <w:color w:val="80C358"/>
          <w:lang w:val="de-DE"/>
        </w:rPr>
        <w:t xml:space="preserve">Abbildung </w:t>
      </w:r>
      <w:r w:rsidRPr="00EF3094">
        <w:rPr>
          <w:color w:val="80C358"/>
        </w:rPr>
        <w:fldChar w:fldCharType="begin"/>
      </w:r>
      <w:r w:rsidRPr="00EF3094">
        <w:rPr>
          <w:color w:val="80C358"/>
          <w:lang w:val="de-DE"/>
        </w:rPr>
        <w:instrText xml:space="preserve"> SEQ Abbildung \* ARABIC </w:instrText>
      </w:r>
      <w:r w:rsidRPr="00EF3094">
        <w:rPr>
          <w:color w:val="80C358"/>
        </w:rPr>
        <w:fldChar w:fldCharType="separate"/>
      </w:r>
      <w:r w:rsidRPr="00EF3094">
        <w:rPr>
          <w:noProof/>
          <w:color w:val="80C358"/>
          <w:lang w:val="de-DE"/>
        </w:rPr>
        <w:t>2</w:t>
      </w:r>
      <w:r w:rsidRPr="00EF3094">
        <w:rPr>
          <w:color w:val="80C358"/>
        </w:rPr>
        <w:fldChar w:fldCharType="end"/>
      </w:r>
      <w:r w:rsidRPr="00EF3094">
        <w:rPr>
          <w:color w:val="80C358"/>
          <w:lang w:val="de-DE"/>
        </w:rPr>
        <w:t xml:space="preserve">: </w:t>
      </w:r>
      <w:r>
        <w:rPr>
          <w:color w:val="80C358"/>
          <w:lang w:val="de-DE"/>
        </w:rPr>
        <w:t>Mehrz</w:t>
      </w:r>
      <w:r w:rsidRPr="00EF3094">
        <w:rPr>
          <w:color w:val="80C358"/>
          <w:lang w:val="de-DE"/>
        </w:rPr>
        <w:t>ahlungsbereitschaften für die Herkunft aus der Region und die ökologische Produktion</w:t>
      </w:r>
    </w:p>
    <w:p w:rsidR="00EF3094" w:rsidRPr="00621FBD" w:rsidRDefault="00EF3094" w:rsidP="00621FBD">
      <w:pPr>
        <w:rPr>
          <w:lang w:val="de-DE"/>
        </w:rPr>
      </w:pPr>
      <w:r>
        <w:rPr>
          <w:noProof/>
          <w:lang w:eastAsia="en-GB"/>
        </w:rPr>
        <w:drawing>
          <wp:inline distT="0" distB="0" distL="0" distR="0" wp14:anchorId="454760BA" wp14:editId="4BFD2BC3">
            <wp:extent cx="6200775" cy="4467225"/>
            <wp:effectExtent l="0" t="0" r="0" b="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EF3094" w:rsidRPr="00621FBD" w:rsidSect="00621FB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1E"/>
    <w:rsid w:val="000343AF"/>
    <w:rsid w:val="00056368"/>
    <w:rsid w:val="000B66C3"/>
    <w:rsid w:val="000C416E"/>
    <w:rsid w:val="000F6436"/>
    <w:rsid w:val="001546CF"/>
    <w:rsid w:val="001758F0"/>
    <w:rsid w:val="00190A93"/>
    <w:rsid w:val="001F5A51"/>
    <w:rsid w:val="00211517"/>
    <w:rsid w:val="00263F9D"/>
    <w:rsid w:val="00267B94"/>
    <w:rsid w:val="00384F25"/>
    <w:rsid w:val="00391371"/>
    <w:rsid w:val="004037AF"/>
    <w:rsid w:val="004843BD"/>
    <w:rsid w:val="004D49D6"/>
    <w:rsid w:val="004F2A3E"/>
    <w:rsid w:val="00533B2E"/>
    <w:rsid w:val="00552675"/>
    <w:rsid w:val="005A43C0"/>
    <w:rsid w:val="006102CD"/>
    <w:rsid w:val="00621FBD"/>
    <w:rsid w:val="006901E5"/>
    <w:rsid w:val="006D514E"/>
    <w:rsid w:val="006E36A3"/>
    <w:rsid w:val="006E7BFB"/>
    <w:rsid w:val="006F4EC7"/>
    <w:rsid w:val="00741F55"/>
    <w:rsid w:val="0079688C"/>
    <w:rsid w:val="00796A56"/>
    <w:rsid w:val="007B7F77"/>
    <w:rsid w:val="007D7B45"/>
    <w:rsid w:val="0089612D"/>
    <w:rsid w:val="008A2892"/>
    <w:rsid w:val="00904B6E"/>
    <w:rsid w:val="0095081A"/>
    <w:rsid w:val="00980E1E"/>
    <w:rsid w:val="009B3F4E"/>
    <w:rsid w:val="009C1E48"/>
    <w:rsid w:val="00A05519"/>
    <w:rsid w:val="00A14C9E"/>
    <w:rsid w:val="00A776E0"/>
    <w:rsid w:val="00A84DB6"/>
    <w:rsid w:val="00B53576"/>
    <w:rsid w:val="00B53824"/>
    <w:rsid w:val="00BE0D3C"/>
    <w:rsid w:val="00BE41F3"/>
    <w:rsid w:val="00C04B8E"/>
    <w:rsid w:val="00C56F41"/>
    <w:rsid w:val="00C713E2"/>
    <w:rsid w:val="00C8696A"/>
    <w:rsid w:val="00D27709"/>
    <w:rsid w:val="00D55674"/>
    <w:rsid w:val="00D922D3"/>
    <w:rsid w:val="00DD700F"/>
    <w:rsid w:val="00EF3094"/>
    <w:rsid w:val="00EF4157"/>
    <w:rsid w:val="00F1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52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4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E1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2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sid w:val="001546CF"/>
    <w:rPr>
      <w:b/>
      <w:bCs/>
      <w:i/>
      <w:iCs/>
      <w:color w:val="4F81BD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54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901E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66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66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66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66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66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52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4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E1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2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sid w:val="001546CF"/>
    <w:rPr>
      <w:b/>
      <w:bCs/>
      <w:i/>
      <w:iCs/>
      <w:color w:val="4F81BD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54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901E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66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66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66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66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66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2060"/>
              </a:solidFill>
            </c:spPr>
          </c:dPt>
          <c:dPt>
            <c:idx val="1"/>
            <c:bubble3D val="0"/>
            <c:spPr>
              <a:solidFill>
                <a:srgbClr val="85CA3A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numFmt formatCode="#\ ?/?" sourceLinked="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\ ?/?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'Grafik Betriebe+Flächen'!$C$18:$C$20</c:f>
              <c:strCache>
                <c:ptCount val="3"/>
                <c:pt idx="0">
                  <c:v>Öko wichtiger als regionale Herkunft</c:v>
                </c:pt>
                <c:pt idx="1">
                  <c:v>Öko genauso wichtig wie regionale Herkunft</c:v>
                </c:pt>
                <c:pt idx="2">
                  <c:v>Öko weniger wichtig als regionale Herkunft</c:v>
                </c:pt>
              </c:strCache>
            </c:strRef>
          </c:cat>
          <c:val>
            <c:numRef>
              <c:f>'Grafik Betriebe+Flächen'!$D$18:$D$20</c:f>
              <c:numCache>
                <c:formatCode>General</c:formatCode>
                <c:ptCount val="3"/>
                <c:pt idx="0">
                  <c:v>65</c:v>
                </c:pt>
                <c:pt idx="1">
                  <c:v>82</c:v>
                </c:pt>
                <c:pt idx="2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+mn-lt"/>
          <a:cs typeface="Arial" panose="020B0604020202020204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97412895385972"/>
          <c:y val="8.6092715231788075E-2"/>
          <c:w val="0.74966995792192648"/>
          <c:h val="0.7649006622516556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'Grafik Betriebe+Flächen'!$B$14</c:f>
              <c:strCache>
                <c:ptCount val="1"/>
                <c:pt idx="0">
                  <c:v>Regional (gegenüber 'aus Deutschland')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numFmt formatCode="#,##0.0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'Grafik Betriebe+Flächen'!$C$13:$F$13</c:f>
              <c:strCache>
                <c:ptCount val="4"/>
                <c:pt idx="0">
                  <c:v>Äpfel</c:v>
                </c:pt>
                <c:pt idx="1">
                  <c:v>Butter</c:v>
                </c:pt>
                <c:pt idx="2">
                  <c:v>Mehl</c:v>
                </c:pt>
                <c:pt idx="3">
                  <c:v>Steaks</c:v>
                </c:pt>
              </c:strCache>
            </c:strRef>
          </c:cat>
          <c:val>
            <c:numRef>
              <c:f>'Grafik Betriebe+Flächen'!$C$14:$F$14</c:f>
              <c:numCache>
                <c:formatCode>0.0000</c:formatCode>
                <c:ptCount val="4"/>
                <c:pt idx="0">
                  <c:v>0.62904670505438265</c:v>
                </c:pt>
                <c:pt idx="1">
                  <c:v>0.37211743972402411</c:v>
                </c:pt>
                <c:pt idx="2">
                  <c:v>0.35671008785216518</c:v>
                </c:pt>
                <c:pt idx="3">
                  <c:v>1.2611653872993722</c:v>
                </c:pt>
              </c:numCache>
            </c:numRef>
          </c:val>
        </c:ser>
        <c:ser>
          <c:idx val="1"/>
          <c:order val="1"/>
          <c:tx>
            <c:strRef>
              <c:f>'Grafik Betriebe+Flächen'!$B$15</c:f>
              <c:strCache>
                <c:ptCount val="1"/>
                <c:pt idx="0">
                  <c:v>Regional (gegenüber 'aus einem Nachbarland')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numFmt formatCode="#,##0.0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'Grafik Betriebe+Flächen'!$C$13:$F$13</c:f>
              <c:strCache>
                <c:ptCount val="4"/>
                <c:pt idx="0">
                  <c:v>Äpfel</c:v>
                </c:pt>
                <c:pt idx="1">
                  <c:v>Butter</c:v>
                </c:pt>
                <c:pt idx="2">
                  <c:v>Mehl</c:v>
                </c:pt>
                <c:pt idx="3">
                  <c:v>Steaks</c:v>
                </c:pt>
              </c:strCache>
            </c:strRef>
          </c:cat>
          <c:val>
            <c:numRef>
              <c:f>'Grafik Betriebe+Flächen'!$C$15:$F$15</c:f>
              <c:numCache>
                <c:formatCode>0.0000</c:formatCode>
                <c:ptCount val="4"/>
                <c:pt idx="0">
                  <c:v>4.248368522072937</c:v>
                </c:pt>
                <c:pt idx="1">
                  <c:v>1.2588398515129924</c:v>
                </c:pt>
                <c:pt idx="2">
                  <c:v>3.4381248106634343</c:v>
                </c:pt>
                <c:pt idx="3">
                  <c:v>5.555478018143754</c:v>
                </c:pt>
              </c:numCache>
            </c:numRef>
          </c:val>
        </c:ser>
        <c:ser>
          <c:idx val="2"/>
          <c:order val="2"/>
          <c:tx>
            <c:strRef>
              <c:f>'Grafik Betriebe+Flächen'!$B$16</c:f>
              <c:strCache>
                <c:ptCount val="1"/>
                <c:pt idx="0">
                  <c:v>Ökologisch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numFmt formatCode="#,##0.0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'Grafik Betriebe+Flächen'!$C$13:$F$13</c:f>
              <c:strCache>
                <c:ptCount val="4"/>
                <c:pt idx="0">
                  <c:v>Äpfel</c:v>
                </c:pt>
                <c:pt idx="1">
                  <c:v>Butter</c:v>
                </c:pt>
                <c:pt idx="2">
                  <c:v>Mehl</c:v>
                </c:pt>
                <c:pt idx="3">
                  <c:v>Steaks</c:v>
                </c:pt>
              </c:strCache>
            </c:strRef>
          </c:cat>
          <c:val>
            <c:numRef>
              <c:f>'Grafik Betriebe+Flächen'!$C$16:$F$16</c:f>
              <c:numCache>
                <c:formatCode>0.0000</c:formatCode>
                <c:ptCount val="4"/>
                <c:pt idx="0">
                  <c:v>1.2221369161868201</c:v>
                </c:pt>
                <c:pt idx="1">
                  <c:v>0.30799805017061005</c:v>
                </c:pt>
                <c:pt idx="2">
                  <c:v>0.96637382611329892</c:v>
                </c:pt>
                <c:pt idx="3">
                  <c:v>2.4596999302163289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014592"/>
        <c:axId val="106016128"/>
      </c:barChart>
      <c:catAx>
        <c:axId val="1060145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06016128"/>
        <c:crosses val="autoZero"/>
        <c:auto val="1"/>
        <c:lblAlgn val="ctr"/>
        <c:lblOffset val="100"/>
        <c:noMultiLvlLbl val="0"/>
      </c:catAx>
      <c:valAx>
        <c:axId val="106016128"/>
        <c:scaling>
          <c:orientation val="minMax"/>
        </c:scaling>
        <c:delete val="0"/>
        <c:axPos val="t"/>
        <c:majorGridlines>
          <c:spPr>
            <a:ln w="38100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Mehrzahlungsbereitschaft in €</a:t>
                </a:r>
              </a:p>
            </c:rich>
          </c:tx>
          <c:layout>
            <c:manualLayout>
              <c:xMode val="edge"/>
              <c:yMode val="edge"/>
              <c:x val="0.40308944074298403"/>
              <c:y val="8.5754193500685392E-4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06014592"/>
        <c:crosses val="autoZero"/>
        <c:crossBetween val="between"/>
      </c:valAx>
      <c:spPr>
        <a:solidFill>
          <a:srgbClr val="99CC0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5.4900060569351906E-2"/>
          <c:y val="0.86643142155166608"/>
          <c:w val="0.87652466518608252"/>
          <c:h val="5.1299056525170389E-2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+mn-lt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0.02708</cdr:x>
      <cdr:y>0.02604</cdr:y>
    </cdr:from>
    <cdr:to>
      <cdr:x>0.15625</cdr:x>
      <cdr:y>0.12326</cdr:y>
    </cdr:to>
    <cdr:sp macro="" textlink="">
      <cdr:nvSpPr>
        <cdr:cNvPr id="2" name="Textfeld 1"/>
        <cdr:cNvSpPr txBox="1"/>
      </cdr:nvSpPr>
      <cdr:spPr>
        <a:xfrm xmlns:a="http://schemas.openxmlformats.org/drawingml/2006/main">
          <a:off x="123825" y="71438"/>
          <a:ext cx="5905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000">
              <a:latin typeface="+mn-lt"/>
              <a:cs typeface="Arial" panose="020B0604020202020204" pitchFamily="34" charset="0"/>
            </a:rPr>
            <a:t>n=211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0.00684</cdr:x>
      <cdr:y>0.01135</cdr:y>
    </cdr:from>
    <cdr:to>
      <cdr:x>0.10204</cdr:x>
      <cdr:y>0.12107</cdr:y>
    </cdr:to>
    <cdr:sp macro="" textlink="">
      <cdr:nvSpPr>
        <cdr:cNvPr id="5" name="Textfeld 1"/>
        <cdr:cNvSpPr txBox="1"/>
      </cdr:nvSpPr>
      <cdr:spPr>
        <a:xfrm xmlns:a="http://schemas.openxmlformats.org/drawingml/2006/main">
          <a:off x="41501" y="44648"/>
          <a:ext cx="577624" cy="4316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1000">
              <a:latin typeface="+mn-lt"/>
              <a:cs typeface="Arial" panose="020B0604020202020204" pitchFamily="34" charset="0"/>
            </a:rPr>
            <a:t>n=211</a:t>
          </a:r>
        </a:p>
      </cdr:txBody>
    </cdr:sp>
  </cdr:relSizeAnchor>
</c:userShape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9E848-CEC3-4188-BC86-772D2C6B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 Feldmann</dc:creator>
  <cp:lastModifiedBy>Corinna Feldmann</cp:lastModifiedBy>
  <cp:revision>2</cp:revision>
  <cp:lastPrinted>2014-10-30T08:47:00Z</cp:lastPrinted>
  <dcterms:created xsi:type="dcterms:W3CDTF">2015-03-31T09:33:00Z</dcterms:created>
  <dcterms:modified xsi:type="dcterms:W3CDTF">2015-03-31T09:33:00Z</dcterms:modified>
</cp:coreProperties>
</file>