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31" w:rsidRPr="00B836C0" w:rsidRDefault="00567DA8" w:rsidP="000B4942">
      <w:pPr>
        <w:spacing w:after="0"/>
        <w:rPr>
          <w:b/>
          <w:sz w:val="20"/>
        </w:rPr>
      </w:pPr>
      <w:r w:rsidRPr="00B836C0">
        <w:rPr>
          <w:b/>
          <w:sz w:val="20"/>
        </w:rPr>
        <w:t>Økologi i skolemad – betingelser for de økologiske leverandører</w:t>
      </w:r>
    </w:p>
    <w:p w:rsidR="002D7553" w:rsidRPr="00B836C0" w:rsidRDefault="0061646F" w:rsidP="000B4942">
      <w:pPr>
        <w:spacing w:after="0"/>
        <w:rPr>
          <w:sz w:val="20"/>
        </w:rPr>
      </w:pPr>
      <w:r w:rsidRPr="00B836C0">
        <w:rPr>
          <w:sz w:val="20"/>
        </w:rPr>
        <w:t xml:space="preserve">Økologi er i de senere år kommet på dagsordenen i forhold til offentlige indkøb, </w:t>
      </w:r>
      <w:r w:rsidR="00266A74" w:rsidRPr="00B836C0">
        <w:rPr>
          <w:sz w:val="20"/>
        </w:rPr>
        <w:t xml:space="preserve">særligt i forhold til mad i institutioner og </w:t>
      </w:r>
      <w:r w:rsidRPr="00B836C0">
        <w:rPr>
          <w:sz w:val="20"/>
        </w:rPr>
        <w:t>skole</w:t>
      </w:r>
      <w:r w:rsidR="00266A74" w:rsidRPr="00B836C0">
        <w:rPr>
          <w:sz w:val="20"/>
        </w:rPr>
        <w:t>r</w:t>
      </w:r>
      <w:r w:rsidRPr="00B836C0">
        <w:rPr>
          <w:sz w:val="20"/>
        </w:rPr>
        <w:t>. I mad til vuggestuer og børnehaver er økologi allerede udbredt</w:t>
      </w:r>
      <w:r w:rsidR="00266A74" w:rsidRPr="00B836C0">
        <w:rPr>
          <w:sz w:val="20"/>
        </w:rPr>
        <w:t>, mens økologisk skolemad særligt findes i hovedstadsområdet</w:t>
      </w:r>
      <w:r w:rsidRPr="00B836C0">
        <w:rPr>
          <w:sz w:val="20"/>
        </w:rPr>
        <w:t xml:space="preserve">. Således ses et voksende ønske om økologi i offentlig bespisning til børn og unge. </w:t>
      </w:r>
      <w:r w:rsidR="002D7553" w:rsidRPr="00B836C0">
        <w:rPr>
          <w:sz w:val="20"/>
        </w:rPr>
        <w:t xml:space="preserve">Imidlertid </w:t>
      </w:r>
      <w:r w:rsidR="00B830B4" w:rsidRPr="00B836C0">
        <w:rPr>
          <w:sz w:val="20"/>
        </w:rPr>
        <w:t xml:space="preserve">indebærer indføringen af økologiske fødevarer i institutioner </w:t>
      </w:r>
      <w:r w:rsidR="00AC0AB1" w:rsidRPr="00B836C0">
        <w:rPr>
          <w:sz w:val="20"/>
        </w:rPr>
        <w:t xml:space="preserve">en række </w:t>
      </w:r>
      <w:r w:rsidR="00C97ABD" w:rsidRPr="00B836C0">
        <w:rPr>
          <w:sz w:val="20"/>
        </w:rPr>
        <w:t>udfordringer</w:t>
      </w:r>
      <w:r w:rsidR="00EC6A4F" w:rsidRPr="00B836C0">
        <w:rPr>
          <w:sz w:val="20"/>
        </w:rPr>
        <w:t xml:space="preserve">, </w:t>
      </w:r>
      <w:r w:rsidR="00836DA9" w:rsidRPr="00B836C0">
        <w:rPr>
          <w:sz w:val="20"/>
        </w:rPr>
        <w:t xml:space="preserve">som typisk er </w:t>
      </w:r>
      <w:r w:rsidR="00FB738A" w:rsidRPr="00B836C0">
        <w:rPr>
          <w:sz w:val="20"/>
        </w:rPr>
        <w:t xml:space="preserve">knyttet til de </w:t>
      </w:r>
      <w:r w:rsidR="00836DA9" w:rsidRPr="00B836C0">
        <w:rPr>
          <w:sz w:val="20"/>
        </w:rPr>
        <w:t xml:space="preserve">vanskeligheder, der </w:t>
      </w:r>
      <w:r w:rsidR="00FB738A" w:rsidRPr="00B836C0">
        <w:rPr>
          <w:sz w:val="20"/>
        </w:rPr>
        <w:t xml:space="preserve">er forbundet med at omstille et </w:t>
      </w:r>
      <w:r w:rsidR="00C97ABD" w:rsidRPr="00B836C0">
        <w:rPr>
          <w:sz w:val="20"/>
        </w:rPr>
        <w:t>køkken fra konventionelle råvarer til økologiske råvarer.</w:t>
      </w:r>
      <w:r w:rsidR="00B70490" w:rsidRPr="00B836C0">
        <w:rPr>
          <w:sz w:val="20"/>
        </w:rPr>
        <w:t xml:space="preserve"> </w:t>
      </w:r>
      <w:r w:rsidR="00C97ABD" w:rsidRPr="00B836C0">
        <w:rPr>
          <w:sz w:val="20"/>
        </w:rPr>
        <w:t xml:space="preserve">Vanskelighederne kan f.eks. omhandle </w:t>
      </w:r>
      <w:r w:rsidR="00544834" w:rsidRPr="00B836C0">
        <w:rPr>
          <w:sz w:val="20"/>
        </w:rPr>
        <w:t>omstilling til årstidens grøntsager</w:t>
      </w:r>
      <w:r w:rsidR="007370C8" w:rsidRPr="00B836C0">
        <w:rPr>
          <w:sz w:val="20"/>
        </w:rPr>
        <w:t>, nye menuer, nye rutiner mm. (</w:t>
      </w:r>
      <w:r w:rsidR="000E40D2" w:rsidRPr="00B836C0">
        <w:rPr>
          <w:sz w:val="20"/>
        </w:rPr>
        <w:t xml:space="preserve">Mikkelsen et al).  En særlig problemstilling i denne forbindelse er knyttet til leverancerne af de økologiske fødevarer, og herunder </w:t>
      </w:r>
      <w:r w:rsidR="00702C38" w:rsidRPr="00B836C0">
        <w:rPr>
          <w:sz w:val="20"/>
        </w:rPr>
        <w:t xml:space="preserve">kommunernes håndtering af indkøbene. </w:t>
      </w:r>
      <w:r w:rsidR="00BD2BAA">
        <w:rPr>
          <w:sz w:val="20"/>
        </w:rPr>
        <w:t xml:space="preserve">NEdenstående er baseret på interview indsamlet i forsknings-projektet iPOPy. </w:t>
      </w:r>
    </w:p>
    <w:p w:rsidR="005F6716" w:rsidRPr="00B836C0" w:rsidRDefault="005F6716" w:rsidP="000B4942">
      <w:pPr>
        <w:pStyle w:val="Overskrift2"/>
        <w:spacing w:before="0"/>
        <w:rPr>
          <w:rFonts w:asciiTheme="minorHAnsi" w:hAnsiTheme="minorHAnsi"/>
          <w:color w:val="auto"/>
          <w:sz w:val="20"/>
        </w:rPr>
      </w:pPr>
    </w:p>
    <w:p w:rsidR="00567DA8" w:rsidRPr="00B836C0" w:rsidRDefault="009065B2" w:rsidP="000B4942">
      <w:pPr>
        <w:pStyle w:val="Overskrift2"/>
        <w:spacing w:before="0"/>
        <w:rPr>
          <w:rFonts w:asciiTheme="minorHAnsi" w:hAnsiTheme="minorHAnsi"/>
          <w:color w:val="auto"/>
          <w:sz w:val="20"/>
        </w:rPr>
      </w:pPr>
      <w:r w:rsidRPr="00B836C0">
        <w:rPr>
          <w:rFonts w:asciiTheme="minorHAnsi" w:hAnsiTheme="minorHAnsi"/>
          <w:color w:val="auto"/>
          <w:sz w:val="20"/>
        </w:rPr>
        <w:t>Ure</w:t>
      </w:r>
      <w:r w:rsidR="009D61EF" w:rsidRPr="00B836C0">
        <w:rPr>
          <w:rFonts w:asciiTheme="minorHAnsi" w:hAnsiTheme="minorHAnsi"/>
          <w:color w:val="auto"/>
          <w:sz w:val="20"/>
        </w:rPr>
        <w:t>alistiske krav til udbudsmateria</w:t>
      </w:r>
      <w:r w:rsidRPr="00B836C0">
        <w:rPr>
          <w:rFonts w:asciiTheme="minorHAnsi" w:hAnsiTheme="minorHAnsi"/>
          <w:color w:val="auto"/>
          <w:sz w:val="20"/>
        </w:rPr>
        <w:t>le</w:t>
      </w:r>
    </w:p>
    <w:p w:rsidR="00A21422" w:rsidRPr="00B836C0" w:rsidRDefault="00626B24" w:rsidP="000B4942">
      <w:pPr>
        <w:spacing w:after="0"/>
        <w:rPr>
          <w:sz w:val="20"/>
        </w:rPr>
      </w:pPr>
      <w:r w:rsidRPr="00B836C0">
        <w:rPr>
          <w:sz w:val="20"/>
        </w:rPr>
        <w:t xml:space="preserve">Når kommunerne laver et udbud på levering af varer til institutionerne, afspejler dette sjældent kendskab til de økologiske betingelser og i </w:t>
      </w:r>
      <w:r w:rsidR="00290D1F" w:rsidRPr="00B836C0">
        <w:rPr>
          <w:sz w:val="20"/>
        </w:rPr>
        <w:t>nogle</w:t>
      </w:r>
      <w:r w:rsidRPr="00B836C0">
        <w:rPr>
          <w:sz w:val="20"/>
        </w:rPr>
        <w:t xml:space="preserve"> tilfælde spænder udbudsmaterialet direkte ben for økologien. Således peger flere økologiske totalleverandører på</w:t>
      </w:r>
      <w:r w:rsidR="0082212C" w:rsidRPr="00B836C0">
        <w:rPr>
          <w:sz w:val="20"/>
        </w:rPr>
        <w:t>,</w:t>
      </w:r>
      <w:r w:rsidRPr="00B836C0">
        <w:rPr>
          <w:sz w:val="20"/>
        </w:rPr>
        <w:t xml:space="preserve"> at </w:t>
      </w:r>
      <w:r w:rsidR="0082212C" w:rsidRPr="00B836C0">
        <w:rPr>
          <w:sz w:val="20"/>
        </w:rPr>
        <w:t xml:space="preserve">varelister </w:t>
      </w:r>
      <w:r w:rsidR="00266A74" w:rsidRPr="00B836C0">
        <w:rPr>
          <w:sz w:val="20"/>
        </w:rPr>
        <w:t xml:space="preserve">i udbudsmaterialet </w:t>
      </w:r>
      <w:r w:rsidR="0082212C" w:rsidRPr="00B836C0">
        <w:rPr>
          <w:sz w:val="20"/>
        </w:rPr>
        <w:t xml:space="preserve">fremstår som ønskelister, frem for at afspejle </w:t>
      </w:r>
      <w:r w:rsidR="002C0CC8" w:rsidRPr="00B836C0">
        <w:rPr>
          <w:sz w:val="20"/>
        </w:rPr>
        <w:t>et realistisk</w:t>
      </w:r>
      <w:r w:rsidR="0082212C" w:rsidRPr="00B836C0">
        <w:rPr>
          <w:sz w:val="20"/>
        </w:rPr>
        <w:t xml:space="preserve"> behov i køkkenerne. Eksempelvis er der ofte meget specifikke krav til </w:t>
      </w:r>
      <w:r w:rsidR="005B7965" w:rsidRPr="00B836C0">
        <w:rPr>
          <w:sz w:val="20"/>
        </w:rPr>
        <w:t xml:space="preserve">produkter, der </w:t>
      </w:r>
      <w:r w:rsidR="00A21422" w:rsidRPr="00B836C0">
        <w:rPr>
          <w:sz w:val="20"/>
        </w:rPr>
        <w:t>typisk</w:t>
      </w:r>
      <w:r w:rsidR="005B7965" w:rsidRPr="00B836C0">
        <w:rPr>
          <w:sz w:val="20"/>
        </w:rPr>
        <w:t xml:space="preserve"> udspringer af konventionelle varekataloger, og som </w:t>
      </w:r>
      <w:r w:rsidR="0082212C" w:rsidRPr="00B836C0">
        <w:rPr>
          <w:sz w:val="20"/>
        </w:rPr>
        <w:t>ikke altid findes i økologisk variant.</w:t>
      </w:r>
      <w:r w:rsidR="005B7965" w:rsidRPr="00B836C0">
        <w:rPr>
          <w:sz w:val="20"/>
        </w:rPr>
        <w:t xml:space="preserve"> </w:t>
      </w:r>
      <w:r w:rsidR="00356EBD" w:rsidRPr="00B836C0">
        <w:rPr>
          <w:sz w:val="20"/>
        </w:rPr>
        <w:t>Endvidere kan der være</w:t>
      </w:r>
      <w:r w:rsidRPr="00B836C0">
        <w:rPr>
          <w:sz w:val="20"/>
        </w:rPr>
        <w:t xml:space="preserve"> krav om levering af </w:t>
      </w:r>
      <w:r w:rsidR="00AA370A" w:rsidRPr="00B836C0">
        <w:rPr>
          <w:sz w:val="20"/>
        </w:rPr>
        <w:t xml:space="preserve">fersk kød i </w:t>
      </w:r>
      <w:r w:rsidRPr="00B836C0">
        <w:rPr>
          <w:sz w:val="20"/>
        </w:rPr>
        <w:t>specifikke udskæringer,</w:t>
      </w:r>
      <w:r w:rsidR="0082212C" w:rsidRPr="00B836C0">
        <w:rPr>
          <w:sz w:val="20"/>
        </w:rPr>
        <w:t xml:space="preserve"> eller mejeriprodukter i bestemte pakkestørrelser</w:t>
      </w:r>
      <w:r w:rsidR="00356EBD" w:rsidRPr="00B836C0">
        <w:rPr>
          <w:sz w:val="20"/>
        </w:rPr>
        <w:t>,</w:t>
      </w:r>
      <w:r w:rsidRPr="00B836C0">
        <w:rPr>
          <w:sz w:val="20"/>
        </w:rPr>
        <w:t xml:space="preserve"> som ikke er tilgængelige i økologisk variant.</w:t>
      </w:r>
      <w:r w:rsidR="0082212C" w:rsidRPr="00B836C0">
        <w:rPr>
          <w:sz w:val="20"/>
        </w:rPr>
        <w:t xml:space="preserve"> Sådanne krav er ofte</w:t>
      </w:r>
      <w:r w:rsidRPr="00B836C0">
        <w:rPr>
          <w:sz w:val="20"/>
        </w:rPr>
        <w:t xml:space="preserve"> </w:t>
      </w:r>
      <w:r w:rsidR="0082212C" w:rsidRPr="00B836C0">
        <w:rPr>
          <w:sz w:val="20"/>
        </w:rPr>
        <w:t xml:space="preserve">unødvendige i forhold til køkkenernes virkelighed. </w:t>
      </w:r>
      <w:r w:rsidRPr="00B836C0">
        <w:rPr>
          <w:sz w:val="20"/>
        </w:rPr>
        <w:t>En løsning</w:t>
      </w:r>
      <w:r w:rsidR="0076644D" w:rsidRPr="00B836C0">
        <w:rPr>
          <w:sz w:val="20"/>
        </w:rPr>
        <w:t>, der</w:t>
      </w:r>
      <w:r w:rsidRPr="00B836C0">
        <w:rPr>
          <w:sz w:val="20"/>
        </w:rPr>
        <w:t xml:space="preserve"> ville</w:t>
      </w:r>
      <w:r w:rsidR="0076644D" w:rsidRPr="00B836C0">
        <w:rPr>
          <w:sz w:val="20"/>
        </w:rPr>
        <w:t xml:space="preserve"> i</w:t>
      </w:r>
      <w:r w:rsidR="0015556D" w:rsidRPr="00B836C0">
        <w:rPr>
          <w:sz w:val="20"/>
        </w:rPr>
        <w:t>mødekomme</w:t>
      </w:r>
      <w:r w:rsidR="0076644D" w:rsidRPr="00B836C0">
        <w:rPr>
          <w:sz w:val="20"/>
        </w:rPr>
        <w:t xml:space="preserve"> de økologiske </w:t>
      </w:r>
      <w:r w:rsidR="0015556D" w:rsidRPr="00B836C0">
        <w:rPr>
          <w:sz w:val="20"/>
        </w:rPr>
        <w:t>leverandørers</w:t>
      </w:r>
      <w:r w:rsidRPr="00B836C0">
        <w:rPr>
          <w:sz w:val="20"/>
        </w:rPr>
        <w:t xml:space="preserve"> </w:t>
      </w:r>
      <w:r w:rsidR="0015556D" w:rsidRPr="00B836C0">
        <w:rPr>
          <w:sz w:val="20"/>
        </w:rPr>
        <w:t>behov ville</w:t>
      </w:r>
      <w:r w:rsidRPr="00B836C0">
        <w:rPr>
          <w:sz w:val="20"/>
        </w:rPr>
        <w:t xml:space="preserve"> være at </w:t>
      </w:r>
      <w:r w:rsidR="0015556D" w:rsidRPr="00B836C0">
        <w:rPr>
          <w:sz w:val="20"/>
        </w:rPr>
        <w:t>stille</w:t>
      </w:r>
      <w:r w:rsidRPr="00B836C0">
        <w:rPr>
          <w:sz w:val="20"/>
        </w:rPr>
        <w:t xml:space="preserve"> mind</w:t>
      </w:r>
      <w:r w:rsidR="0082212C" w:rsidRPr="00B836C0">
        <w:rPr>
          <w:sz w:val="20"/>
        </w:rPr>
        <w:t>re specifikke krav til varelisterne.</w:t>
      </w:r>
    </w:p>
    <w:p w:rsidR="00020CD2" w:rsidRPr="00B836C0" w:rsidRDefault="00020CD2" w:rsidP="000B4942">
      <w:pPr>
        <w:spacing w:after="0"/>
        <w:rPr>
          <w:sz w:val="20"/>
        </w:rPr>
      </w:pPr>
    </w:p>
    <w:p w:rsidR="00A745A8" w:rsidRPr="00B836C0" w:rsidRDefault="0082212C" w:rsidP="000B4942">
      <w:pPr>
        <w:spacing w:after="0"/>
        <w:rPr>
          <w:sz w:val="20"/>
        </w:rPr>
      </w:pPr>
      <w:r w:rsidRPr="00B836C0">
        <w:rPr>
          <w:sz w:val="20"/>
        </w:rPr>
        <w:t xml:space="preserve">Et andet problem i meget udbudsmateriale er, at de økologiske produkter udbydes i linje med konventionelle. Dette betyder at grossister, der kun leverer økologiske varer, </w:t>
      </w:r>
      <w:r w:rsidR="0085010A" w:rsidRPr="00B836C0">
        <w:rPr>
          <w:sz w:val="20"/>
        </w:rPr>
        <w:t>er afskåret fra at</w:t>
      </w:r>
      <w:r w:rsidRPr="00B836C0">
        <w:rPr>
          <w:sz w:val="20"/>
        </w:rPr>
        <w:t xml:space="preserve"> byde ind, da der skal bydes ind både</w:t>
      </w:r>
      <w:r w:rsidR="0085010A" w:rsidRPr="00B836C0">
        <w:rPr>
          <w:sz w:val="20"/>
        </w:rPr>
        <w:t xml:space="preserve"> på</w:t>
      </w:r>
      <w:r w:rsidRPr="00B836C0">
        <w:rPr>
          <w:sz w:val="20"/>
        </w:rPr>
        <w:t xml:space="preserve"> </w:t>
      </w:r>
      <w:r w:rsidR="008D37BB" w:rsidRPr="00B836C0">
        <w:rPr>
          <w:sz w:val="20"/>
        </w:rPr>
        <w:t>de</w:t>
      </w:r>
      <w:r w:rsidRPr="00B836C0">
        <w:rPr>
          <w:sz w:val="20"/>
        </w:rPr>
        <w:t xml:space="preserve"> økologisk</w:t>
      </w:r>
      <w:r w:rsidR="008D37BB" w:rsidRPr="00B836C0">
        <w:rPr>
          <w:sz w:val="20"/>
        </w:rPr>
        <w:t>e og konventionelle produkter</w:t>
      </w:r>
      <w:r w:rsidRPr="00B836C0">
        <w:rPr>
          <w:sz w:val="20"/>
        </w:rPr>
        <w:t xml:space="preserve">. Mange mindre grossister udelukkes </w:t>
      </w:r>
      <w:r w:rsidR="008D37BB" w:rsidRPr="00B836C0">
        <w:rPr>
          <w:sz w:val="20"/>
        </w:rPr>
        <w:t>desuden</w:t>
      </w:r>
      <w:r w:rsidRPr="00B836C0">
        <w:rPr>
          <w:sz w:val="20"/>
        </w:rPr>
        <w:t xml:space="preserve"> </w:t>
      </w:r>
      <w:r w:rsidR="00266A74" w:rsidRPr="00B836C0">
        <w:rPr>
          <w:sz w:val="20"/>
        </w:rPr>
        <w:t xml:space="preserve">på </w:t>
      </w:r>
      <w:r w:rsidRPr="00B836C0">
        <w:rPr>
          <w:sz w:val="20"/>
        </w:rPr>
        <w:t>forhånd fordi udbuddene ikke deles i varegrupper</w:t>
      </w:r>
      <w:r w:rsidR="008D37BB" w:rsidRPr="00B836C0">
        <w:rPr>
          <w:sz w:val="20"/>
        </w:rPr>
        <w:t xml:space="preserve"> (grønt for sig, mejeri for sig osv). </w:t>
      </w:r>
      <w:r w:rsidR="0085010A" w:rsidRPr="00B836C0">
        <w:rPr>
          <w:sz w:val="20"/>
        </w:rPr>
        <w:t>Det betyder at leverandørerne</w:t>
      </w:r>
      <w:r w:rsidR="008D37BB" w:rsidRPr="00B836C0">
        <w:rPr>
          <w:sz w:val="20"/>
        </w:rPr>
        <w:t xml:space="preserve"> skal kunne levere samtlige produkter, hvilket ofte kun er muligt for de store firmaer, som </w:t>
      </w:r>
      <w:r w:rsidR="0085010A" w:rsidRPr="00B836C0">
        <w:rPr>
          <w:sz w:val="20"/>
        </w:rPr>
        <w:t>typisk</w:t>
      </w:r>
      <w:r w:rsidR="008D37BB" w:rsidRPr="00B836C0">
        <w:rPr>
          <w:sz w:val="20"/>
        </w:rPr>
        <w:t xml:space="preserve"> leverer en blanding af økologi og konventionelt. Udbuddene henvender sig dermed </w:t>
      </w:r>
      <w:r w:rsidR="00A745A8" w:rsidRPr="00B836C0">
        <w:rPr>
          <w:sz w:val="20"/>
        </w:rPr>
        <w:t xml:space="preserve">i høj grad til de store firmaer, som oftest </w:t>
      </w:r>
      <w:r w:rsidR="00266A74" w:rsidRPr="00B836C0">
        <w:rPr>
          <w:sz w:val="20"/>
        </w:rPr>
        <w:t xml:space="preserve">ikke er specialiserede i økologi og </w:t>
      </w:r>
      <w:r w:rsidR="00A745A8" w:rsidRPr="00B836C0">
        <w:rPr>
          <w:sz w:val="20"/>
        </w:rPr>
        <w:t>typisk</w:t>
      </w:r>
      <w:r w:rsidR="00266A74" w:rsidRPr="00B836C0">
        <w:rPr>
          <w:sz w:val="20"/>
        </w:rPr>
        <w:t xml:space="preserve"> kun har et begrænset sortiment, med begrænset rådgivningskapacitet i forhold til økologi i storkøkkener</w:t>
      </w:r>
      <w:r w:rsidR="008D37BB" w:rsidRPr="00B836C0">
        <w:rPr>
          <w:sz w:val="20"/>
        </w:rPr>
        <w:t xml:space="preserve">. </w:t>
      </w:r>
      <w:r w:rsidR="0085010A" w:rsidRPr="00B836C0">
        <w:rPr>
          <w:sz w:val="20"/>
        </w:rPr>
        <w:t>En måde at</w:t>
      </w:r>
      <w:r w:rsidR="00266A74" w:rsidRPr="00B836C0">
        <w:rPr>
          <w:sz w:val="20"/>
        </w:rPr>
        <w:t xml:space="preserve"> understøtte implementering</w:t>
      </w:r>
      <w:r w:rsidR="0085010A" w:rsidRPr="00B836C0">
        <w:rPr>
          <w:sz w:val="20"/>
        </w:rPr>
        <w:t>en</w:t>
      </w:r>
      <w:r w:rsidR="00266A74" w:rsidRPr="00B836C0">
        <w:rPr>
          <w:sz w:val="20"/>
        </w:rPr>
        <w:t xml:space="preserve"> af økologi</w:t>
      </w:r>
      <w:r w:rsidR="0085010A" w:rsidRPr="00B836C0">
        <w:rPr>
          <w:sz w:val="20"/>
        </w:rPr>
        <w:t>ske varer</w:t>
      </w:r>
      <w:r w:rsidR="00266A74" w:rsidRPr="00B836C0">
        <w:rPr>
          <w:sz w:val="20"/>
        </w:rPr>
        <w:t xml:space="preserve"> i de offentlige institutioner </w:t>
      </w:r>
      <w:r w:rsidR="0085010A" w:rsidRPr="00B836C0">
        <w:rPr>
          <w:sz w:val="20"/>
        </w:rPr>
        <w:t>er således at</w:t>
      </w:r>
      <w:r w:rsidR="00266A74" w:rsidRPr="00B836C0">
        <w:rPr>
          <w:sz w:val="20"/>
        </w:rPr>
        <w:t xml:space="preserve"> </w:t>
      </w:r>
      <w:r w:rsidR="0085010A" w:rsidRPr="00B836C0">
        <w:rPr>
          <w:sz w:val="20"/>
        </w:rPr>
        <w:t>dele</w:t>
      </w:r>
      <w:r w:rsidR="00266A74" w:rsidRPr="00B836C0">
        <w:rPr>
          <w:sz w:val="20"/>
        </w:rPr>
        <w:t xml:space="preserve"> </w:t>
      </w:r>
      <w:r w:rsidR="0085010A" w:rsidRPr="00B836C0">
        <w:rPr>
          <w:sz w:val="20"/>
        </w:rPr>
        <w:t xml:space="preserve">udbuddene </w:t>
      </w:r>
      <w:r w:rsidR="00266A74" w:rsidRPr="00B836C0">
        <w:rPr>
          <w:sz w:val="20"/>
        </w:rPr>
        <w:t xml:space="preserve">i økologisk og konventionelt, samt efter varegrupper. Dette vil muliggøre at økologiske grossister kan byde ind på de økologiske varer, hvilket også vil medføre en sikkerhed i </w:t>
      </w:r>
      <w:r w:rsidR="0085010A" w:rsidRPr="00B836C0">
        <w:rPr>
          <w:sz w:val="20"/>
        </w:rPr>
        <w:t>for</w:t>
      </w:r>
      <w:r w:rsidR="00266A74" w:rsidRPr="00B836C0">
        <w:rPr>
          <w:sz w:val="20"/>
        </w:rPr>
        <w:t xml:space="preserve"> at kommunerne kan overholde deres målsætninger om </w:t>
      </w:r>
      <w:r w:rsidR="0085010A" w:rsidRPr="00B836C0">
        <w:rPr>
          <w:sz w:val="20"/>
        </w:rPr>
        <w:t xml:space="preserve">at levere </w:t>
      </w:r>
      <w:r w:rsidR="00266A74" w:rsidRPr="00B836C0">
        <w:rPr>
          <w:sz w:val="20"/>
        </w:rPr>
        <w:t>økologi</w:t>
      </w:r>
      <w:r w:rsidR="0085010A" w:rsidRPr="00B836C0">
        <w:rPr>
          <w:sz w:val="20"/>
        </w:rPr>
        <w:t>sk produkter</w:t>
      </w:r>
      <w:r w:rsidR="00266A74" w:rsidRPr="00B836C0">
        <w:rPr>
          <w:sz w:val="20"/>
        </w:rPr>
        <w:t xml:space="preserve">. Samtidig vil en opdeling i varegrupper gøre det muligt for de mindre grossister at byde ind, </w:t>
      </w:r>
      <w:r w:rsidR="008D37BB" w:rsidRPr="00B836C0">
        <w:rPr>
          <w:sz w:val="20"/>
        </w:rPr>
        <w:t>og dermed sikre levering af økologiske produkter</w:t>
      </w:r>
      <w:r w:rsidR="00266A74" w:rsidRPr="00B836C0">
        <w:rPr>
          <w:sz w:val="20"/>
        </w:rPr>
        <w:t>, da disse ofte er specialiserede og med stor viden om økologi i storkøkkener</w:t>
      </w:r>
      <w:r w:rsidRPr="00B836C0">
        <w:rPr>
          <w:sz w:val="20"/>
        </w:rPr>
        <w:t xml:space="preserve">. </w:t>
      </w:r>
    </w:p>
    <w:p w:rsidR="0082212C" w:rsidRPr="00B836C0" w:rsidRDefault="0082212C" w:rsidP="000B4942">
      <w:pPr>
        <w:spacing w:after="0"/>
        <w:rPr>
          <w:sz w:val="20"/>
        </w:rPr>
      </w:pPr>
    </w:p>
    <w:p w:rsidR="00567DA8" w:rsidRPr="00B836C0" w:rsidRDefault="00020CD2" w:rsidP="000B4942">
      <w:pPr>
        <w:pStyle w:val="Overskrift3"/>
        <w:spacing w:before="0"/>
        <w:rPr>
          <w:rFonts w:asciiTheme="minorHAnsi" w:hAnsiTheme="minorHAnsi"/>
          <w:color w:val="auto"/>
          <w:sz w:val="20"/>
        </w:rPr>
      </w:pPr>
      <w:r w:rsidRPr="00B836C0">
        <w:rPr>
          <w:rFonts w:asciiTheme="minorHAnsi" w:hAnsiTheme="minorHAnsi"/>
          <w:color w:val="auto"/>
          <w:sz w:val="20"/>
        </w:rPr>
        <w:t>Konventionelle erstatningsvarer og fordomme overfor økologiske leverandører</w:t>
      </w:r>
    </w:p>
    <w:p w:rsidR="00266A74" w:rsidRPr="00B836C0" w:rsidRDefault="00D075D1" w:rsidP="000B4942">
      <w:pPr>
        <w:spacing w:after="0"/>
        <w:rPr>
          <w:sz w:val="20"/>
        </w:rPr>
      </w:pPr>
      <w:r w:rsidRPr="00B836C0">
        <w:rPr>
          <w:sz w:val="20"/>
        </w:rPr>
        <w:t>Et p</w:t>
      </w:r>
      <w:r w:rsidR="00567DA8" w:rsidRPr="00B836C0">
        <w:rPr>
          <w:sz w:val="20"/>
        </w:rPr>
        <w:t>roblem</w:t>
      </w:r>
      <w:r w:rsidRPr="00B836C0">
        <w:rPr>
          <w:sz w:val="20"/>
        </w:rPr>
        <w:t>, der relaterer sig til ovennævnte er, at ønsker om økologi i udbudsmaterialet ofte ikke er</w:t>
      </w:r>
      <w:r w:rsidR="00266A74" w:rsidRPr="00B836C0">
        <w:rPr>
          <w:sz w:val="20"/>
        </w:rPr>
        <w:t xml:space="preserve"> implementeret</w:t>
      </w:r>
      <w:r w:rsidRPr="00B836C0">
        <w:rPr>
          <w:sz w:val="20"/>
        </w:rPr>
        <w:t xml:space="preserve"> solidt nok</w:t>
      </w:r>
      <w:r w:rsidR="00266A74" w:rsidRPr="00B836C0">
        <w:rPr>
          <w:sz w:val="20"/>
        </w:rPr>
        <w:t xml:space="preserve"> i udbudsmaterialet</w:t>
      </w:r>
      <w:r w:rsidRPr="00B836C0">
        <w:rPr>
          <w:sz w:val="20"/>
        </w:rPr>
        <w:t xml:space="preserve">. </w:t>
      </w:r>
      <w:r w:rsidR="00B276E0" w:rsidRPr="00B836C0">
        <w:rPr>
          <w:sz w:val="20"/>
        </w:rPr>
        <w:t>Således accepteres det ofte</w:t>
      </w:r>
      <w:r w:rsidRPr="00B836C0">
        <w:rPr>
          <w:sz w:val="20"/>
        </w:rPr>
        <w:t>,</w:t>
      </w:r>
      <w:r w:rsidR="00266A74" w:rsidRPr="00B836C0">
        <w:rPr>
          <w:sz w:val="20"/>
        </w:rPr>
        <w:t xml:space="preserve"> at der</w:t>
      </w:r>
      <w:r w:rsidR="00567DA8" w:rsidRPr="00B836C0">
        <w:rPr>
          <w:sz w:val="20"/>
        </w:rPr>
        <w:t xml:space="preserve"> leveres konventionelle erstatningsvarer </w:t>
      </w:r>
      <w:r w:rsidRPr="00B836C0">
        <w:rPr>
          <w:sz w:val="20"/>
        </w:rPr>
        <w:t xml:space="preserve">for økologiske produkter, som ikke er på lager. Der </w:t>
      </w:r>
      <w:r w:rsidR="00B276E0" w:rsidRPr="00B836C0">
        <w:rPr>
          <w:sz w:val="20"/>
        </w:rPr>
        <w:t>eksisterer</w:t>
      </w:r>
      <w:r w:rsidRPr="00B836C0">
        <w:rPr>
          <w:sz w:val="20"/>
        </w:rPr>
        <w:t xml:space="preserve"> således en myte om, at levering af </w:t>
      </w:r>
      <w:r w:rsidR="00B276E0" w:rsidRPr="00B836C0">
        <w:rPr>
          <w:sz w:val="20"/>
        </w:rPr>
        <w:t>økologiske produkter er usikker</w:t>
      </w:r>
      <w:r w:rsidRPr="00B836C0">
        <w:rPr>
          <w:sz w:val="20"/>
        </w:rPr>
        <w:t xml:space="preserve"> og </w:t>
      </w:r>
      <w:r w:rsidR="00266A74" w:rsidRPr="00B836C0">
        <w:rPr>
          <w:sz w:val="20"/>
        </w:rPr>
        <w:t>at køkkenerne risikerer</w:t>
      </w:r>
      <w:r w:rsidRPr="00B836C0">
        <w:rPr>
          <w:sz w:val="20"/>
        </w:rPr>
        <w:t xml:space="preserve"> at mangle nødvendige varer</w:t>
      </w:r>
      <w:r w:rsidR="00266A74" w:rsidRPr="00B836C0">
        <w:rPr>
          <w:sz w:val="20"/>
        </w:rPr>
        <w:t>, hvis der handles med grossister, der kun leverer økologisk</w:t>
      </w:r>
      <w:r w:rsidRPr="00B836C0">
        <w:rPr>
          <w:sz w:val="20"/>
        </w:rPr>
        <w:t>. De specialiserede økologiske grossister påpeger dog, at</w:t>
      </w:r>
      <w:r w:rsidR="00567DA8" w:rsidRPr="00B836C0">
        <w:rPr>
          <w:sz w:val="20"/>
        </w:rPr>
        <w:t xml:space="preserve"> hvis der planlægges efter årstiden, </w:t>
      </w:r>
      <w:r w:rsidRPr="00B836C0">
        <w:rPr>
          <w:sz w:val="20"/>
        </w:rPr>
        <w:t xml:space="preserve">er dette ikke et problem og der vil altid kunne leveres lignende økologiske erstatningsvarer (eks pastinak frem for persillerod) </w:t>
      </w:r>
      <w:r w:rsidR="00266A74" w:rsidRPr="00B836C0">
        <w:rPr>
          <w:sz w:val="20"/>
        </w:rPr>
        <w:t>frem</w:t>
      </w:r>
      <w:r w:rsidRPr="00B836C0">
        <w:rPr>
          <w:sz w:val="20"/>
        </w:rPr>
        <w:t xml:space="preserve"> for</w:t>
      </w:r>
      <w:r w:rsidR="00266A74" w:rsidRPr="00B836C0">
        <w:rPr>
          <w:sz w:val="20"/>
        </w:rPr>
        <w:t xml:space="preserve"> at benytte</w:t>
      </w:r>
      <w:r w:rsidRPr="00B836C0">
        <w:rPr>
          <w:sz w:val="20"/>
        </w:rPr>
        <w:t xml:space="preserve"> konventionelle </w:t>
      </w:r>
      <w:r w:rsidR="00266A74" w:rsidRPr="00B836C0">
        <w:rPr>
          <w:sz w:val="20"/>
        </w:rPr>
        <w:t>erstatningsvarer</w:t>
      </w:r>
      <w:r w:rsidRPr="00B836C0">
        <w:rPr>
          <w:sz w:val="20"/>
        </w:rPr>
        <w:t>. Således er der ikke længere en reel risiko forbundet med at handle med de specialiserede økologiske grossister</w:t>
      </w:r>
      <w:r w:rsidR="00567DA8" w:rsidRPr="00B836C0">
        <w:rPr>
          <w:sz w:val="20"/>
        </w:rPr>
        <w:t xml:space="preserve">. </w:t>
      </w:r>
    </w:p>
    <w:p w:rsidR="00BC0EC6" w:rsidRPr="00B836C0" w:rsidRDefault="00EB1371" w:rsidP="000B4942">
      <w:pPr>
        <w:spacing w:after="0"/>
        <w:rPr>
          <w:sz w:val="20"/>
        </w:rPr>
      </w:pPr>
      <w:r w:rsidRPr="00B836C0">
        <w:rPr>
          <w:sz w:val="20"/>
        </w:rPr>
        <w:t>Problemstillingen omkring de konventionelle erstatningsvarer eskalerer yderligere i og med at k</w:t>
      </w:r>
      <w:r w:rsidR="00567DA8" w:rsidRPr="00B836C0">
        <w:rPr>
          <w:sz w:val="20"/>
        </w:rPr>
        <w:t>onventionelle grossister, der har budt på et økologisk udbud er oft</w:t>
      </w:r>
      <w:r w:rsidR="00B276E0" w:rsidRPr="00B836C0">
        <w:rPr>
          <w:sz w:val="20"/>
        </w:rPr>
        <w:t>e ikke lagerførende</w:t>
      </w:r>
      <w:r w:rsidR="00567DA8" w:rsidRPr="00B836C0">
        <w:rPr>
          <w:sz w:val="20"/>
        </w:rPr>
        <w:t xml:space="preserve"> med økologiske varianter og leverer derfor konventionelle erstatningsvarer. Dette med til at holde en </w:t>
      </w:r>
      <w:r w:rsidR="00BC0EC6" w:rsidRPr="00B836C0">
        <w:rPr>
          <w:sz w:val="20"/>
        </w:rPr>
        <w:t xml:space="preserve">fordommen om manglende </w:t>
      </w:r>
      <w:r w:rsidR="00567DA8" w:rsidRPr="00B836C0">
        <w:rPr>
          <w:sz w:val="20"/>
        </w:rPr>
        <w:t>leveringssikkerhed</w:t>
      </w:r>
      <w:r w:rsidR="00BC0EC6" w:rsidRPr="00B836C0">
        <w:rPr>
          <w:sz w:val="20"/>
        </w:rPr>
        <w:t xml:space="preserve"> i live. </w:t>
      </w:r>
    </w:p>
    <w:p w:rsidR="00BC0EC6" w:rsidRPr="00B836C0" w:rsidRDefault="00BC0EC6" w:rsidP="000B4942">
      <w:pPr>
        <w:spacing w:after="0"/>
        <w:rPr>
          <w:sz w:val="20"/>
        </w:rPr>
      </w:pPr>
    </w:p>
    <w:p w:rsidR="000B4942" w:rsidRPr="00B836C0" w:rsidRDefault="00541170" w:rsidP="000B4942">
      <w:pPr>
        <w:spacing w:after="0"/>
        <w:rPr>
          <w:sz w:val="20"/>
        </w:rPr>
      </w:pPr>
      <w:r w:rsidRPr="00B836C0">
        <w:rPr>
          <w:sz w:val="20"/>
        </w:rPr>
        <w:t>I dag nævnes økologi i</w:t>
      </w:r>
      <w:r w:rsidR="00EB1371" w:rsidRPr="00B836C0">
        <w:rPr>
          <w:sz w:val="20"/>
        </w:rPr>
        <w:t xml:space="preserve"> mange</w:t>
      </w:r>
      <w:r w:rsidRPr="00B836C0">
        <w:rPr>
          <w:sz w:val="20"/>
        </w:rPr>
        <w:t xml:space="preserve"> kommunale</w:t>
      </w:r>
      <w:r w:rsidR="00EB1371" w:rsidRPr="00B836C0">
        <w:rPr>
          <w:sz w:val="20"/>
        </w:rPr>
        <w:t xml:space="preserve"> udbud</w:t>
      </w:r>
      <w:r w:rsidR="00B61CCF" w:rsidRPr="00B836C0">
        <w:rPr>
          <w:sz w:val="20"/>
        </w:rPr>
        <w:t>, men sjældent</w:t>
      </w:r>
      <w:r w:rsidR="00EB1371" w:rsidRPr="00B836C0">
        <w:rPr>
          <w:sz w:val="20"/>
        </w:rPr>
        <w:t xml:space="preserve"> </w:t>
      </w:r>
      <w:r w:rsidRPr="00B836C0">
        <w:rPr>
          <w:sz w:val="20"/>
        </w:rPr>
        <w:t>er der indføjet et</w:t>
      </w:r>
      <w:r w:rsidR="00B61CCF" w:rsidRPr="00B836C0">
        <w:rPr>
          <w:sz w:val="20"/>
        </w:rPr>
        <w:t xml:space="preserve"> krav om bestemte procentdele økologi</w:t>
      </w:r>
      <w:r w:rsidR="00EB1371" w:rsidRPr="00B836C0">
        <w:rPr>
          <w:sz w:val="20"/>
        </w:rPr>
        <w:t>, ligesom der sjældent</w:t>
      </w:r>
      <w:r w:rsidR="00B61CCF" w:rsidRPr="00B836C0">
        <w:rPr>
          <w:sz w:val="20"/>
        </w:rPr>
        <w:t xml:space="preserve"> sanktioner</w:t>
      </w:r>
      <w:r w:rsidR="00EB1371" w:rsidRPr="00B836C0">
        <w:rPr>
          <w:sz w:val="20"/>
        </w:rPr>
        <w:t xml:space="preserve">es hvis </w:t>
      </w:r>
      <w:r w:rsidRPr="00B836C0">
        <w:rPr>
          <w:sz w:val="20"/>
        </w:rPr>
        <w:t xml:space="preserve">leverandørerne </w:t>
      </w:r>
      <w:r w:rsidR="00EB1371" w:rsidRPr="00B836C0">
        <w:rPr>
          <w:sz w:val="20"/>
        </w:rPr>
        <w:t>alligevel ikke</w:t>
      </w:r>
      <w:r w:rsidR="00B61CCF" w:rsidRPr="00B836C0">
        <w:rPr>
          <w:sz w:val="20"/>
        </w:rPr>
        <w:t xml:space="preserve"> leveres økologisk. Således accepteres konventionelle erstatningsvarer, hvilket gør det muligt for virksomheder at byde ind på økologiske produkter, som de reelt ikke kan levere, og dermed fremstå bedre på pris end de økologiske grossister, selvom dette ikke afspejler en reel konkurrencedygtighed på økologi. </w:t>
      </w:r>
      <w:r w:rsidR="005B7965" w:rsidRPr="00B836C0">
        <w:rPr>
          <w:sz w:val="20"/>
        </w:rPr>
        <w:t xml:space="preserve">Der mangler sanktioner over for de grossister, der byder ind på økologiske produkter, men ender med at levere konventionelle. </w:t>
      </w:r>
      <w:r w:rsidR="00761306" w:rsidRPr="00B836C0">
        <w:rPr>
          <w:sz w:val="20"/>
        </w:rPr>
        <w:t>En del af udfordringer</w:t>
      </w:r>
      <w:r w:rsidR="00EB1371" w:rsidRPr="00B836C0">
        <w:rPr>
          <w:sz w:val="20"/>
        </w:rPr>
        <w:t>ne</w:t>
      </w:r>
      <w:r w:rsidR="00761306" w:rsidRPr="00B836C0">
        <w:rPr>
          <w:sz w:val="20"/>
        </w:rPr>
        <w:t xml:space="preserve"> i at sætte dette problem i fokus er, at mange køkkener mere eller mindre ufrivilligt tvinges til at omlægge til økologi. Hvis køkkenpersonalet ikke motiveres og kvalificeres i forhold til økologien, kan dette betyde at økologien anses som besværlig og uønsket, hvilket kan give anledning til at de konventionelle erstatningsvarer ses som et positivt indslag, der gør det nemmere at holde budgettet. Dermed problematiseres det ikke og der kommer ikke fokus på problemet og </w:t>
      </w:r>
      <w:r w:rsidR="000B3223" w:rsidRPr="00B836C0">
        <w:rPr>
          <w:sz w:val="20"/>
        </w:rPr>
        <w:t xml:space="preserve">de kommunale </w:t>
      </w:r>
      <w:r w:rsidR="00761306" w:rsidRPr="00B836C0">
        <w:rPr>
          <w:sz w:val="20"/>
        </w:rPr>
        <w:t xml:space="preserve">forvaltningerne bliver </w:t>
      </w:r>
      <w:r w:rsidR="000B3223" w:rsidRPr="00B836C0">
        <w:rPr>
          <w:sz w:val="20"/>
        </w:rPr>
        <w:t>således</w:t>
      </w:r>
      <w:r w:rsidR="00761306" w:rsidRPr="00B836C0">
        <w:rPr>
          <w:sz w:val="20"/>
        </w:rPr>
        <w:t xml:space="preserve"> ikke opmærksomme på det.</w:t>
      </w:r>
    </w:p>
    <w:p w:rsidR="00761306" w:rsidRPr="00B836C0" w:rsidRDefault="00761306" w:rsidP="000B4942">
      <w:pPr>
        <w:spacing w:after="0"/>
        <w:rPr>
          <w:sz w:val="20"/>
        </w:rPr>
      </w:pPr>
    </w:p>
    <w:p w:rsidR="00567DA8" w:rsidRPr="00B836C0" w:rsidRDefault="003862D1" w:rsidP="000B4942">
      <w:pPr>
        <w:pStyle w:val="Overskrift2"/>
        <w:spacing w:before="0"/>
        <w:rPr>
          <w:rFonts w:asciiTheme="minorHAnsi" w:hAnsiTheme="minorHAnsi"/>
          <w:color w:val="auto"/>
          <w:sz w:val="20"/>
        </w:rPr>
      </w:pPr>
      <w:r w:rsidRPr="00B836C0">
        <w:rPr>
          <w:rFonts w:asciiTheme="minorHAnsi" w:hAnsiTheme="minorHAnsi"/>
          <w:color w:val="auto"/>
          <w:sz w:val="20"/>
        </w:rPr>
        <w:t>Hvad kan</w:t>
      </w:r>
      <w:r w:rsidR="00567DA8" w:rsidRPr="00B836C0">
        <w:rPr>
          <w:rFonts w:asciiTheme="minorHAnsi" w:hAnsiTheme="minorHAnsi"/>
          <w:color w:val="auto"/>
          <w:sz w:val="20"/>
        </w:rPr>
        <w:t xml:space="preserve"> gøre det nemmere for de økologiske leverandører </w:t>
      </w:r>
    </w:p>
    <w:p w:rsidR="005E2B46" w:rsidRPr="00B836C0" w:rsidRDefault="005E2B46" w:rsidP="000B4942">
      <w:pPr>
        <w:spacing w:after="0"/>
        <w:rPr>
          <w:sz w:val="20"/>
        </w:rPr>
      </w:pPr>
      <w:r w:rsidRPr="00B836C0">
        <w:rPr>
          <w:sz w:val="20"/>
        </w:rPr>
        <w:t xml:space="preserve">Der skal stilles større og mere specifikke krav om økologien i udbudsmaterialet. Når kun få produkter specifikt efterlyses i økologisk variant, betyder det at konventionelle grossister, med et lille sortiment af økologi, vinder på pris. Således skal der stilles krav om procentdele økologi eller åbnes for muligheden for at give flere point for at levere økologisk. </w:t>
      </w:r>
      <w:r w:rsidR="00F3351E" w:rsidRPr="00B836C0">
        <w:rPr>
          <w:sz w:val="20"/>
        </w:rPr>
        <w:t>Dette suppleres med sanktioner hvis økologikravene ikke overholdes, sådan at der stilles krav om reel leveringsdygtighed på økologien.</w:t>
      </w:r>
    </w:p>
    <w:p w:rsidR="00F3351E" w:rsidRPr="00B836C0" w:rsidRDefault="00F3351E" w:rsidP="000B4942">
      <w:pPr>
        <w:spacing w:after="0"/>
        <w:rPr>
          <w:sz w:val="20"/>
        </w:rPr>
      </w:pPr>
    </w:p>
    <w:p w:rsidR="000B1EF1" w:rsidRPr="00B836C0" w:rsidRDefault="00F3351E" w:rsidP="000B4942">
      <w:pPr>
        <w:spacing w:after="0"/>
        <w:rPr>
          <w:sz w:val="20"/>
        </w:rPr>
      </w:pPr>
      <w:r w:rsidRPr="00B836C0">
        <w:rPr>
          <w:sz w:val="20"/>
        </w:rPr>
        <w:t xml:space="preserve">Der efterlyses større grad af kommunikation mellem de, der udarbejder udbudsmaterialet, køkkener og grossister. Bedre forståelse for de forskellige aktørers virkelighed vil kunne afhjælpe mange problemer. Eksempelvis må der stilles mindre specifikke krav i udbudsmaterialerne, køkkenerne skal lære at planlægge i forhold til årstider og opnå større forståelse for økologisk produktion. Samtidig må grossister være forstående overfor køkkenernes virkelighed, der består i at skulle levere mad til mange mennesker på helt fastlagte tidspunkter og ofte efter en i forvejen offentliggjort menuplan. Dette stiller krav til leveringssikkerhed, som grossisterne må vise forståelse for. </w:t>
      </w:r>
      <w:r w:rsidR="00BD2BAA">
        <w:rPr>
          <w:sz w:val="20"/>
        </w:rPr>
        <w:t xml:space="preserve"> </w:t>
      </w:r>
      <w:r w:rsidR="00C44A75" w:rsidRPr="00B836C0">
        <w:rPr>
          <w:sz w:val="20"/>
        </w:rPr>
        <w:t>En udvidet kommunikation mellem de forskellige led, ses derfor som en mulig løsning på mange udfordringer. Dette gælder både gennem workshops og daglig kommunikation.</w:t>
      </w:r>
    </w:p>
    <w:p w:rsidR="000B1EF1" w:rsidRPr="00B836C0" w:rsidRDefault="000B1EF1" w:rsidP="000B4942">
      <w:pPr>
        <w:spacing w:after="0"/>
        <w:rPr>
          <w:sz w:val="20"/>
        </w:rPr>
      </w:pPr>
    </w:p>
    <w:p w:rsidR="004B0AA2" w:rsidRPr="00B836C0" w:rsidRDefault="004B0AA2" w:rsidP="000B4942">
      <w:pPr>
        <w:spacing w:after="0"/>
        <w:rPr>
          <w:sz w:val="20"/>
        </w:rPr>
      </w:pPr>
    </w:p>
    <w:p w:rsidR="004B0AA2" w:rsidRPr="00B836C0" w:rsidRDefault="004B0AA2" w:rsidP="000B4942">
      <w:pPr>
        <w:spacing w:after="0"/>
        <w:rPr>
          <w:sz w:val="20"/>
        </w:rPr>
      </w:pPr>
    </w:p>
    <w:p w:rsidR="004B0AA2" w:rsidRPr="00B836C0" w:rsidRDefault="004B0AA2" w:rsidP="000B4942">
      <w:pPr>
        <w:spacing w:after="0"/>
        <w:rPr>
          <w:sz w:val="18"/>
        </w:rPr>
      </w:pPr>
    </w:p>
    <w:p w:rsidR="000B1EF1" w:rsidRPr="00B836C0" w:rsidRDefault="000B1EF1" w:rsidP="000B4942">
      <w:pPr>
        <w:spacing w:after="0"/>
        <w:rPr>
          <w:sz w:val="18"/>
        </w:rPr>
      </w:pPr>
    </w:p>
    <w:p w:rsidR="007370C8" w:rsidRPr="00B836C0" w:rsidRDefault="000B1EF1" w:rsidP="000B4942">
      <w:pPr>
        <w:widowControl w:val="0"/>
        <w:autoSpaceDE w:val="0"/>
        <w:autoSpaceDN w:val="0"/>
        <w:adjustRightInd w:val="0"/>
        <w:spacing w:after="0"/>
        <w:rPr>
          <w:rFonts w:cs="Courier"/>
          <w:sz w:val="18"/>
          <w:lang w:bidi="en-US"/>
        </w:rPr>
      </w:pPr>
      <w:r w:rsidRPr="00B836C0">
        <w:rPr>
          <w:sz w:val="18"/>
        </w:rPr>
        <w:t xml:space="preserve">Kristensen NH, Netterstrøm S, He C, Mikkelsen BE, Nielsen T (2009): </w:t>
      </w:r>
      <w:r w:rsidRPr="00B836C0">
        <w:rPr>
          <w:rFonts w:cs="Courier"/>
          <w:sz w:val="18"/>
          <w:lang w:bidi="en-US"/>
        </w:rPr>
        <w:t xml:space="preserve">Making the organic food service chain work and survive. Agronomy Research </w:t>
      </w:r>
      <w:r w:rsidRPr="00B836C0">
        <w:rPr>
          <w:sz w:val="18"/>
        </w:rPr>
        <w:t>7 (Special issue II), p. 618–624</w:t>
      </w:r>
      <w:r w:rsidRPr="00B836C0">
        <w:rPr>
          <w:rFonts w:cs="Courier"/>
          <w:sz w:val="18"/>
          <w:lang w:bidi="en-US"/>
        </w:rPr>
        <w:t>.</w:t>
      </w:r>
    </w:p>
    <w:p w:rsidR="007370C8" w:rsidRPr="00B836C0" w:rsidRDefault="007370C8" w:rsidP="007370C8">
      <w:pPr>
        <w:widowControl w:val="0"/>
        <w:autoSpaceDE w:val="0"/>
        <w:autoSpaceDN w:val="0"/>
        <w:adjustRightInd w:val="0"/>
        <w:spacing w:after="0"/>
        <w:rPr>
          <w:rFonts w:cs="Courier"/>
          <w:sz w:val="18"/>
          <w:lang w:bidi="en-US"/>
        </w:rPr>
      </w:pPr>
    </w:p>
    <w:p w:rsidR="007370C8" w:rsidRPr="004B0AA2" w:rsidRDefault="007370C8" w:rsidP="007370C8">
      <w:pPr>
        <w:tabs>
          <w:tab w:val="left" w:pos="8516"/>
        </w:tabs>
        <w:spacing w:after="0" w:line="240" w:lineRule="auto"/>
        <w:rPr>
          <w:sz w:val="18"/>
        </w:rPr>
      </w:pPr>
      <w:r w:rsidRPr="00B836C0">
        <w:rPr>
          <w:sz w:val="18"/>
        </w:rPr>
        <w:t xml:space="preserve">Mikkelsen, B.; Kristensen, N.H.: Nielsen, T.: </w:t>
      </w:r>
      <w:r w:rsidRPr="00B836C0">
        <w:rPr>
          <w:sz w:val="18"/>
          <w:u w:val="single"/>
        </w:rPr>
        <w:t>Innovation processes in large-scale public foodservice – Case findings from implementation of organic foods in a Danish county</w:t>
      </w:r>
      <w:r w:rsidRPr="00B836C0">
        <w:rPr>
          <w:sz w:val="18"/>
        </w:rPr>
        <w:t xml:space="preserve">, in </w:t>
      </w:r>
      <w:r w:rsidRPr="00B836C0">
        <w:rPr>
          <w:i/>
          <w:sz w:val="18"/>
        </w:rPr>
        <w:t>Journal of Foodservice Business Research</w:t>
      </w:r>
      <w:r w:rsidRPr="00B836C0">
        <w:rPr>
          <w:sz w:val="18"/>
        </w:rPr>
        <w:t>, Vol.8, Nummer 2, 2005</w:t>
      </w:r>
    </w:p>
    <w:p w:rsidR="000B1EF1" w:rsidRPr="000E40D2" w:rsidRDefault="000B1EF1" w:rsidP="000B4942">
      <w:pPr>
        <w:widowControl w:val="0"/>
        <w:autoSpaceDE w:val="0"/>
        <w:autoSpaceDN w:val="0"/>
        <w:adjustRightInd w:val="0"/>
        <w:spacing w:after="0"/>
        <w:rPr>
          <w:rFonts w:cs="Courier"/>
          <w:sz w:val="20"/>
          <w:lang w:bidi="en-US"/>
        </w:rPr>
      </w:pPr>
    </w:p>
    <w:p w:rsidR="00C44A75" w:rsidRPr="000E40D2" w:rsidRDefault="00C44A75" w:rsidP="000B4942">
      <w:pPr>
        <w:spacing w:after="0"/>
        <w:rPr>
          <w:sz w:val="20"/>
        </w:rPr>
      </w:pPr>
    </w:p>
    <w:sectPr w:rsidR="00C44A75" w:rsidRPr="000E40D2" w:rsidSect="00BC7631">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6652"/>
    <w:multiLevelType w:val="hybridMultilevel"/>
    <w:tmpl w:val="47F01718"/>
    <w:lvl w:ilvl="0" w:tplc="B0D0A4DA">
      <w:start w:val="1"/>
      <w:numFmt w:val="decimal"/>
      <w:lvlText w:val="%1."/>
      <w:lvlJc w:val="left"/>
      <w:pPr>
        <w:tabs>
          <w:tab w:val="num" w:pos="176"/>
        </w:tabs>
        <w:ind w:left="176"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compat/>
  <w:rsids>
    <w:rsidRoot w:val="00567DA8"/>
    <w:rsid w:val="00020CD2"/>
    <w:rsid w:val="000B027C"/>
    <w:rsid w:val="000B1EF1"/>
    <w:rsid w:val="000B3223"/>
    <w:rsid w:val="000B4942"/>
    <w:rsid w:val="000E40D2"/>
    <w:rsid w:val="000E67CA"/>
    <w:rsid w:val="0010601B"/>
    <w:rsid w:val="00133533"/>
    <w:rsid w:val="0015556D"/>
    <w:rsid w:val="0023259D"/>
    <w:rsid w:val="00266A74"/>
    <w:rsid w:val="00271E93"/>
    <w:rsid w:val="002814DD"/>
    <w:rsid w:val="00290D1F"/>
    <w:rsid w:val="002C0CC8"/>
    <w:rsid w:val="002D7553"/>
    <w:rsid w:val="00356EBD"/>
    <w:rsid w:val="003862D1"/>
    <w:rsid w:val="0040404F"/>
    <w:rsid w:val="004B0AA2"/>
    <w:rsid w:val="00541170"/>
    <w:rsid w:val="00544834"/>
    <w:rsid w:val="00567DA8"/>
    <w:rsid w:val="005B7965"/>
    <w:rsid w:val="005E2B46"/>
    <w:rsid w:val="005F6716"/>
    <w:rsid w:val="0061646F"/>
    <w:rsid w:val="00626B24"/>
    <w:rsid w:val="00702C38"/>
    <w:rsid w:val="00721896"/>
    <w:rsid w:val="007370C8"/>
    <w:rsid w:val="00761306"/>
    <w:rsid w:val="0076644D"/>
    <w:rsid w:val="0082212C"/>
    <w:rsid w:val="00836DA9"/>
    <w:rsid w:val="0084212B"/>
    <w:rsid w:val="0085010A"/>
    <w:rsid w:val="008D37BB"/>
    <w:rsid w:val="00900472"/>
    <w:rsid w:val="009065B2"/>
    <w:rsid w:val="00920B0D"/>
    <w:rsid w:val="00963AC0"/>
    <w:rsid w:val="009D61EF"/>
    <w:rsid w:val="009F6C65"/>
    <w:rsid w:val="00A21422"/>
    <w:rsid w:val="00A745A8"/>
    <w:rsid w:val="00AA370A"/>
    <w:rsid w:val="00AC0AB1"/>
    <w:rsid w:val="00B032AD"/>
    <w:rsid w:val="00B05353"/>
    <w:rsid w:val="00B276E0"/>
    <w:rsid w:val="00B61CCF"/>
    <w:rsid w:val="00B70490"/>
    <w:rsid w:val="00B830B4"/>
    <w:rsid w:val="00B836C0"/>
    <w:rsid w:val="00BC0EC6"/>
    <w:rsid w:val="00BC7631"/>
    <w:rsid w:val="00BD2BAA"/>
    <w:rsid w:val="00C44A75"/>
    <w:rsid w:val="00C97ABD"/>
    <w:rsid w:val="00D03986"/>
    <w:rsid w:val="00D075D1"/>
    <w:rsid w:val="00E7062D"/>
    <w:rsid w:val="00EB1371"/>
    <w:rsid w:val="00EC6A4F"/>
    <w:rsid w:val="00F3351E"/>
    <w:rsid w:val="00F417E6"/>
    <w:rsid w:val="00FB738A"/>
  </w:rsids>
  <m:mathPr>
    <m:mathFont m:val="Impact"/>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C7631"/>
  </w:style>
  <w:style w:type="paragraph" w:styleId="Overskrift2">
    <w:name w:val="heading 2"/>
    <w:basedOn w:val="Normal"/>
    <w:next w:val="Normal"/>
    <w:link w:val="Overskrift2Tegn"/>
    <w:uiPriority w:val="9"/>
    <w:unhideWhenUsed/>
    <w:qFormat/>
    <w:rsid w:val="00020C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20C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Markeringsbobletekst">
    <w:name w:val="Balloon Text"/>
    <w:basedOn w:val="Normal"/>
    <w:link w:val="MarkeringsbobletekstTegn1"/>
    <w:uiPriority w:val="99"/>
    <w:semiHidden/>
    <w:unhideWhenUsed/>
    <w:rsid w:val="00B61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D5B"/>
    <w:rPr>
      <w:rFonts w:ascii="Lucida Grande" w:hAnsi="Lucida Grande"/>
      <w:sz w:val="18"/>
      <w:szCs w:val="18"/>
    </w:rPr>
  </w:style>
  <w:style w:type="character" w:customStyle="1" w:styleId="MarkeringsbobletekstTegn0">
    <w:name w:val="Markeringsbobletekst Tegn"/>
    <w:basedOn w:val="Standardskrifttypeiafsnit"/>
    <w:link w:val="Markeringsbobletekst"/>
    <w:uiPriority w:val="99"/>
    <w:semiHidden/>
    <w:rsid w:val="006E072F"/>
    <w:rPr>
      <w:rFonts w:ascii="Lucida Grande" w:hAnsi="Lucida Grande"/>
      <w:sz w:val="18"/>
      <w:szCs w:val="18"/>
    </w:rPr>
  </w:style>
  <w:style w:type="character" w:customStyle="1" w:styleId="Overskrift2Tegn">
    <w:name w:val="Overskrift 2 Tegn"/>
    <w:basedOn w:val="Standardskrifttypeiafsnit"/>
    <w:link w:val="Overskrift2"/>
    <w:uiPriority w:val="9"/>
    <w:rsid w:val="00020CD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020CD2"/>
    <w:rPr>
      <w:rFonts w:asciiTheme="majorHAnsi" w:eastAsiaTheme="majorEastAsia" w:hAnsiTheme="majorHAnsi" w:cstheme="majorBidi"/>
      <w:b/>
      <w:bCs/>
      <w:color w:val="4F81BD" w:themeColor="accent1"/>
    </w:rPr>
  </w:style>
  <w:style w:type="character" w:styleId="Kommentarhenvisning">
    <w:name w:val="annotation reference"/>
    <w:basedOn w:val="Standardskrifttypeiafsnit"/>
    <w:uiPriority w:val="99"/>
    <w:semiHidden/>
    <w:unhideWhenUsed/>
    <w:rsid w:val="00B61CCF"/>
    <w:rPr>
      <w:sz w:val="16"/>
      <w:szCs w:val="16"/>
    </w:rPr>
  </w:style>
  <w:style w:type="paragraph" w:styleId="Kommentartekst">
    <w:name w:val="annotation text"/>
    <w:basedOn w:val="Normal"/>
    <w:link w:val="KommentartekstTegn"/>
    <w:uiPriority w:val="99"/>
    <w:semiHidden/>
    <w:unhideWhenUsed/>
    <w:rsid w:val="00B61CC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61CCF"/>
    <w:rPr>
      <w:sz w:val="20"/>
      <w:szCs w:val="20"/>
    </w:rPr>
  </w:style>
  <w:style w:type="paragraph" w:styleId="Kommentaremne">
    <w:name w:val="annotation subject"/>
    <w:basedOn w:val="Kommentartekst"/>
    <w:next w:val="Kommentartekst"/>
    <w:link w:val="KommentaremneTegn"/>
    <w:uiPriority w:val="99"/>
    <w:semiHidden/>
    <w:unhideWhenUsed/>
    <w:rsid w:val="00B61CCF"/>
    <w:rPr>
      <w:b/>
      <w:bCs/>
    </w:rPr>
  </w:style>
  <w:style w:type="character" w:customStyle="1" w:styleId="KommentaremneTegn">
    <w:name w:val="Kommentaremne Tegn"/>
    <w:basedOn w:val="KommentartekstTegn"/>
    <w:link w:val="Kommentaremne"/>
    <w:uiPriority w:val="99"/>
    <w:semiHidden/>
    <w:rsid w:val="00B61CCF"/>
    <w:rPr>
      <w:b/>
      <w:bCs/>
    </w:rPr>
  </w:style>
  <w:style w:type="character" w:customStyle="1" w:styleId="MarkeringsbobletekstTegn1">
    <w:name w:val="Markeringsbobletekst Tegn1"/>
    <w:basedOn w:val="Standardskrifttypeiafsnit"/>
    <w:link w:val="Markeringsbobletekst"/>
    <w:uiPriority w:val="99"/>
    <w:semiHidden/>
    <w:rsid w:val="00B61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6295</Characters>
  <Application>Microsoft Macintosh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Rosenlund Hansen</dc:creator>
  <cp:keywords/>
  <dc:description/>
  <cp:lastModifiedBy>Thorkild Nielsen</cp:lastModifiedBy>
  <cp:revision>2</cp:revision>
  <cp:lastPrinted>2010-09-06T14:51:00Z</cp:lastPrinted>
  <dcterms:created xsi:type="dcterms:W3CDTF">2010-09-09T16:22:00Z</dcterms:created>
  <dcterms:modified xsi:type="dcterms:W3CDTF">2010-09-09T16:22:00Z</dcterms:modified>
</cp:coreProperties>
</file>