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71" w:rsidRDefault="007D7D71" w:rsidP="007D7D71">
      <w:pPr>
        <w:pStyle w:val="woa-h1"/>
      </w:pPr>
      <w:bookmarkStart w:id="0" w:name="_Toc534713176"/>
      <w:r>
        <w:t>Australia: Organic Agriculture in 2010/11 and 2015/16</w:t>
      </w:r>
      <w:bookmarkEnd w:id="0"/>
      <w:r w:rsidRPr="00A078FF">
        <w:rPr>
          <w:vertAlign w:val="superscript"/>
        </w:rPr>
        <w:footnoteReference w:id="1"/>
      </w:r>
    </w:p>
    <w:p w:rsidR="007D7D71" w:rsidRDefault="007D7D71" w:rsidP="007D7D71">
      <w:pPr>
        <w:pStyle w:val="woa-h2"/>
      </w:pPr>
      <w:r w:rsidRPr="00024B11">
        <w:t>Els Wynen</w:t>
      </w:r>
      <w:r w:rsidRPr="00A078FF">
        <w:rPr>
          <w:vertAlign w:val="superscript"/>
        </w:rPr>
        <w:footnoteReference w:id="2"/>
      </w:r>
    </w:p>
    <w:p w:rsidR="007D7D71" w:rsidRPr="00594D44" w:rsidRDefault="007D7D71" w:rsidP="007D7D71">
      <w:pPr>
        <w:pStyle w:val="woa-standard"/>
      </w:pPr>
      <w:r>
        <w:t xml:space="preserve">In 2010/11, the Australian Bureau of Statistics (ABS) included organic agriculture in its census, and again in 2015/16. In this paper, the progress of the Australian organic world between those two years is summarised both for land-use and for farm-gate values. </w:t>
      </w:r>
      <w:r w:rsidRPr="006557BD">
        <w:rPr>
          <w:noProof/>
        </w:rPr>
        <w:t>In addition</w:t>
      </w:r>
      <w:r>
        <w:t xml:space="preserve">, some background information </w:t>
      </w:r>
      <w:r w:rsidRPr="006557BD">
        <w:rPr>
          <w:noProof/>
        </w:rPr>
        <w:t>is provided</w:t>
      </w:r>
      <w:r>
        <w:t xml:space="preserve"> for crop area, organic production and prices paid to producers.</w:t>
      </w:r>
    </w:p>
    <w:p w:rsidR="007D7D71" w:rsidRDefault="007D7D71" w:rsidP="007D7D71">
      <w:pPr>
        <w:pStyle w:val="woa-h3"/>
      </w:pPr>
      <w:r>
        <w:t>Organic farmland and land use</w:t>
      </w:r>
      <w:bookmarkStart w:id="1" w:name="_GoBack"/>
      <w:bookmarkEnd w:id="1"/>
    </w:p>
    <w:p w:rsidR="007D7D71" w:rsidRDefault="007D7D71" w:rsidP="007D7D71">
      <w:pPr>
        <w:pStyle w:val="woa-standard"/>
      </w:pPr>
      <w:r>
        <w:fldChar w:fldCharType="begin"/>
      </w:r>
      <w:r>
        <w:instrText xml:space="preserve"> REF _Ref535430224 \h </w:instrText>
      </w:r>
      <w:r>
        <w:fldChar w:fldCharType="separate"/>
      </w:r>
      <w:r>
        <w:t xml:space="preserve">Table </w:t>
      </w:r>
      <w:proofErr w:type="gramStart"/>
      <w:r>
        <w:rPr>
          <w:noProof/>
        </w:rPr>
        <w:t>1</w:t>
      </w:r>
      <w:r>
        <w:fldChar w:fldCharType="end"/>
      </w:r>
      <w:r>
        <w:t xml:space="preserve"> shows</w:t>
      </w:r>
      <w:proofErr w:type="gramEnd"/>
      <w:r>
        <w:t xml:space="preserve"> that the growth of “land mainly used in agricultural production” on properties with organic production occurred in particular in “other land</w:t>
      </w:r>
      <w:r>
        <w:rPr>
          <w:noProof/>
        </w:rPr>
        <w:t>,”</w:t>
      </w:r>
      <w:r>
        <w:t xml:space="preserve"> that is, in unimproved pasture. This category, including mainly extensive grazing areas, grew 2.5-fold between 2010/11 and </w:t>
      </w:r>
      <w:r w:rsidRPr="006557BD">
        <w:rPr>
          <w:noProof/>
        </w:rPr>
        <w:t>2015/16</w:t>
      </w:r>
      <w:r>
        <w:t xml:space="preserve"> and comprised 91 percent of the total organic farmland in 2015/16 – up from 88 percent in 2010/11. The main commodity produced on unimproved pasture is beef. </w:t>
      </w:r>
      <w:r w:rsidRPr="006A3670">
        <w:t>Looking at crop</w:t>
      </w:r>
      <w:r>
        <w:t>land</w:t>
      </w:r>
      <w:r w:rsidRPr="006A3670">
        <w:t xml:space="preserve"> on organic properties, we see that </w:t>
      </w:r>
      <w:r>
        <w:t>it was 16 percent less in</w:t>
      </w:r>
      <w:r w:rsidRPr="006A3670">
        <w:t xml:space="preserve"> 2015</w:t>
      </w:r>
      <w:r>
        <w:t>/</w:t>
      </w:r>
      <w:r w:rsidRPr="006A3670">
        <w:t>16 than in 2010</w:t>
      </w:r>
      <w:r>
        <w:t>/</w:t>
      </w:r>
      <w:r w:rsidRPr="006A3670">
        <w:t>11.</w:t>
      </w:r>
    </w:p>
    <w:p w:rsidR="007D7D71" w:rsidRPr="000547B4" w:rsidRDefault="007D7D71" w:rsidP="007D7D71">
      <w:pPr>
        <w:pStyle w:val="woa-table-headline"/>
      </w:pPr>
      <w:bookmarkStart w:id="2" w:name="_Ref535430224"/>
      <w:r>
        <w:t xml:space="preserve">Table </w:t>
      </w:r>
      <w:r>
        <w:fldChar w:fldCharType="begin"/>
      </w:r>
      <w:r>
        <w:instrText xml:space="preserve"> SEQ Table \* ARABIC </w:instrText>
      </w:r>
      <w:r>
        <w:fldChar w:fldCharType="separate"/>
      </w:r>
      <w:r>
        <w:rPr>
          <w:noProof/>
        </w:rPr>
        <w:t>1</w:t>
      </w:r>
      <w:r>
        <w:fldChar w:fldCharType="end"/>
      </w:r>
      <w:bookmarkEnd w:id="2"/>
      <w:r>
        <w:t xml:space="preserve">: Australia: </w:t>
      </w:r>
      <w:r w:rsidRPr="000547B4">
        <w:t xml:space="preserve">Land use in organic agriculture in different years </w:t>
      </w:r>
    </w:p>
    <w:tbl>
      <w:tblPr>
        <w:tblStyle w:val="HellesRaster-Akzent11"/>
        <w:tblW w:w="5000" w:type="pct"/>
        <w:tblLayout w:type="fixed"/>
        <w:tblLook w:val="04A0" w:firstRow="1" w:lastRow="0" w:firstColumn="1" w:lastColumn="0" w:noHBand="0" w:noVBand="1"/>
      </w:tblPr>
      <w:tblGrid>
        <w:gridCol w:w="3247"/>
        <w:gridCol w:w="1199"/>
        <w:gridCol w:w="1200"/>
        <w:gridCol w:w="1200"/>
        <w:gridCol w:w="1200"/>
        <w:gridCol w:w="1196"/>
      </w:tblGrid>
      <w:tr w:rsidR="007D7D71" w:rsidRPr="00B9172F" w:rsidTr="007D7D7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814AB6" w:rsidRDefault="007D7D71" w:rsidP="007D7D71">
            <w:pPr>
              <w:pStyle w:val="woa-table-text"/>
              <w:rPr>
                <w:b w:val="0"/>
              </w:rPr>
            </w:pPr>
            <w:r w:rsidRPr="00814AB6">
              <w:t> </w:t>
            </w:r>
          </w:p>
        </w:tc>
        <w:tc>
          <w:tcPr>
            <w:tcW w:w="1298" w:type="pct"/>
            <w:gridSpan w:val="2"/>
            <w:noWrap/>
            <w:hideMark/>
          </w:tcPr>
          <w:p w:rsidR="007D7D71" w:rsidRPr="00E931FD"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Cs w:val="0"/>
              </w:rPr>
            </w:pPr>
            <w:r>
              <w:t>2010/1</w:t>
            </w:r>
            <w:r w:rsidRPr="00814AB6">
              <w:t>1</w:t>
            </w:r>
          </w:p>
        </w:tc>
        <w:tc>
          <w:tcPr>
            <w:tcW w:w="1297" w:type="pct"/>
            <w:gridSpan w:val="2"/>
            <w:noWrap/>
            <w:hideMark/>
          </w:tcPr>
          <w:p w:rsidR="007D7D71" w:rsidRPr="00E931FD"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Cs w:val="0"/>
              </w:rPr>
            </w:pPr>
            <w:r>
              <w:t>2015/1</w:t>
            </w:r>
            <w:r w:rsidRPr="00814AB6">
              <w:t>6</w:t>
            </w:r>
          </w:p>
        </w:tc>
        <w:tc>
          <w:tcPr>
            <w:tcW w:w="647" w:type="pct"/>
          </w:tcPr>
          <w:p w:rsidR="007D7D71" w:rsidRPr="00814AB6"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 w:val="0"/>
              </w:rPr>
            </w:pPr>
            <w:r>
              <w:t>Change</w:t>
            </w:r>
            <w:r w:rsidRPr="00814AB6">
              <w:t xml:space="preserve"> </w:t>
            </w:r>
          </w:p>
        </w:tc>
      </w:tr>
      <w:tr w:rsidR="007D7D71" w:rsidRPr="00C3211F"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C3211F" w:rsidRDefault="007D7D71" w:rsidP="007D7D71">
            <w:pPr>
              <w:pStyle w:val="woa-table-text"/>
            </w:pPr>
            <w:r w:rsidRPr="00C3211F">
              <w:t> </w:t>
            </w:r>
          </w:p>
        </w:tc>
        <w:tc>
          <w:tcPr>
            <w:tcW w:w="649" w:type="pct"/>
            <w:noWrap/>
            <w:hideMark/>
          </w:tcPr>
          <w:p w:rsidR="007D7D71" w:rsidRPr="00C3211F"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Hectares</w:t>
            </w:r>
          </w:p>
        </w:tc>
        <w:tc>
          <w:tcPr>
            <w:tcW w:w="649" w:type="pct"/>
            <w:noWrap/>
            <w:hideMark/>
          </w:tcPr>
          <w:p w:rsidR="007D7D71" w:rsidRPr="00C3211F"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rsidRPr="00C3211F">
              <w:t>%</w:t>
            </w:r>
            <w:r>
              <w:t xml:space="preserve"> </w:t>
            </w:r>
            <w:r w:rsidRPr="00C3211F">
              <w:t>of total</w:t>
            </w:r>
          </w:p>
        </w:tc>
        <w:tc>
          <w:tcPr>
            <w:tcW w:w="649" w:type="pct"/>
            <w:noWrap/>
            <w:hideMark/>
          </w:tcPr>
          <w:p w:rsidR="007D7D71" w:rsidRPr="00C3211F"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Hectares</w:t>
            </w:r>
          </w:p>
        </w:tc>
        <w:tc>
          <w:tcPr>
            <w:tcW w:w="649" w:type="pct"/>
            <w:noWrap/>
            <w:hideMark/>
          </w:tcPr>
          <w:p w:rsidR="007D7D71" w:rsidRPr="00C3211F"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rsidRPr="00C3211F">
              <w:t>%</w:t>
            </w:r>
            <w:r>
              <w:t xml:space="preserve"> </w:t>
            </w:r>
            <w:r w:rsidRPr="00C3211F">
              <w:t>of total</w:t>
            </w:r>
          </w:p>
        </w:tc>
        <w:tc>
          <w:tcPr>
            <w:tcW w:w="647" w:type="pct"/>
          </w:tcPr>
          <w:p w:rsidR="007D7D71" w:rsidRPr="00C3211F"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w:t>
            </w:r>
          </w:p>
        </w:tc>
      </w:tr>
      <w:tr w:rsidR="007D7D71" w:rsidRPr="00C3211F"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C3211F" w:rsidRDefault="007D7D71" w:rsidP="007D7D71">
            <w:pPr>
              <w:pStyle w:val="woa-table-text"/>
            </w:pPr>
            <w:r w:rsidRPr="00C3211F">
              <w:t xml:space="preserve">Total area of holdings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C3211F">
              <w:t xml:space="preserve">11,833,915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100</w:t>
            </w:r>
            <w:r>
              <w:t>%</w:t>
            </w:r>
            <w:r w:rsidRPr="00C3211F">
              <w:t xml:space="preserve">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 xml:space="preserve">28,876,574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100</w:t>
            </w:r>
            <w:r>
              <w:t>%</w:t>
            </w:r>
          </w:p>
        </w:tc>
        <w:tc>
          <w:tcPr>
            <w:tcW w:w="647" w:type="pct"/>
            <w:vAlign w:val="center"/>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144%</w:t>
            </w:r>
          </w:p>
        </w:tc>
      </w:tr>
      <w:tr w:rsidR="007D7D71" w:rsidRPr="00C3211F"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C3211F" w:rsidRDefault="007D7D71" w:rsidP="007D7D71">
            <w:pPr>
              <w:pStyle w:val="woa-table-text"/>
            </w:pPr>
            <w:r w:rsidRPr="00C3211F">
              <w:t>Land mainly used for agricultu</w:t>
            </w:r>
            <w:r>
              <w:t>r</w:t>
            </w:r>
            <w:r w:rsidRPr="00C3211F">
              <w:t xml:space="preserve">al production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C3211F">
              <w:t xml:space="preserve">11,439,212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97</w:t>
            </w:r>
            <w:r>
              <w:t>%</w:t>
            </w:r>
            <w:r w:rsidRPr="00C3211F">
              <w:t xml:space="preserve">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 xml:space="preserve">27,511,047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95%</w:t>
            </w:r>
          </w:p>
        </w:tc>
        <w:tc>
          <w:tcPr>
            <w:tcW w:w="647" w:type="pct"/>
            <w:vAlign w:val="center"/>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140%</w:t>
            </w:r>
          </w:p>
        </w:tc>
      </w:tr>
      <w:tr w:rsidR="007D7D71" w:rsidRPr="00C3211F"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E77462" w:rsidRDefault="007D7D71" w:rsidP="007D7D71">
            <w:pPr>
              <w:pStyle w:val="woa-footnote-bullet"/>
              <w:tabs>
                <w:tab w:val="num" w:pos="720"/>
              </w:tabs>
              <w:rPr>
                <w:rFonts w:ascii="Gill Sans MT" w:hAnsi="Gill Sans MT"/>
              </w:rPr>
            </w:pPr>
            <w:r w:rsidRPr="00E77462">
              <w:rPr>
                <w:rFonts w:ascii="Gill Sans MT" w:hAnsi="Gill Sans MT"/>
              </w:rPr>
              <w:t xml:space="preserve">Crops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 xml:space="preserve">200,197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2</w:t>
            </w:r>
            <w:r>
              <w:t>%</w:t>
            </w:r>
            <w:r w:rsidRPr="00C3211F">
              <w:t xml:space="preserve">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 xml:space="preserve">169,087 </w:t>
            </w:r>
          </w:p>
        </w:tc>
        <w:tc>
          <w:tcPr>
            <w:tcW w:w="649" w:type="pct"/>
            <w:noWrap/>
            <w:vAlign w:val="center"/>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1</w:t>
            </w:r>
            <w:r>
              <w:t>%</w:t>
            </w:r>
            <w:r w:rsidRPr="00C3211F">
              <w:t xml:space="preserve"> </w:t>
            </w:r>
          </w:p>
        </w:tc>
        <w:tc>
          <w:tcPr>
            <w:tcW w:w="647" w:type="pct"/>
            <w:vAlign w:val="center"/>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-16% </w:t>
            </w:r>
          </w:p>
        </w:tc>
      </w:tr>
      <w:tr w:rsidR="007D7D71" w:rsidRPr="00C3211F"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E77462" w:rsidRDefault="007D7D71" w:rsidP="007D7D71">
            <w:pPr>
              <w:pStyle w:val="woa-footnote-bullet"/>
              <w:tabs>
                <w:tab w:val="num" w:pos="720"/>
              </w:tabs>
              <w:rPr>
                <w:rFonts w:ascii="Gill Sans MT" w:hAnsi="Gill Sans MT"/>
              </w:rPr>
            </w:pPr>
            <w:r w:rsidRPr="00E77462">
              <w:rPr>
                <w:rFonts w:ascii="Gill Sans MT" w:hAnsi="Gill Sans MT"/>
              </w:rPr>
              <w:t xml:space="preserve">Forestry plantation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 xml:space="preserve">4,482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0</w:t>
            </w:r>
            <w:r>
              <w:t>%</w:t>
            </w:r>
            <w:r w:rsidRPr="00C3211F">
              <w:t xml:space="preserve">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 xml:space="preserve">4,299 </w:t>
            </w:r>
          </w:p>
        </w:tc>
        <w:tc>
          <w:tcPr>
            <w:tcW w:w="649" w:type="pct"/>
            <w:noWrap/>
            <w:vAlign w:val="center"/>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0</w:t>
            </w:r>
            <w:r>
              <w:t>%</w:t>
            </w:r>
            <w:r w:rsidRPr="00C3211F">
              <w:t xml:space="preserve"> </w:t>
            </w:r>
          </w:p>
        </w:tc>
        <w:tc>
          <w:tcPr>
            <w:tcW w:w="647" w:type="pct"/>
            <w:vAlign w:val="center"/>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-4% </w:t>
            </w:r>
          </w:p>
        </w:tc>
      </w:tr>
      <w:tr w:rsidR="007D7D71" w:rsidRPr="00C3211F"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E77462" w:rsidRDefault="007D7D71" w:rsidP="007D7D71">
            <w:pPr>
              <w:pStyle w:val="woa-footnote-bullet"/>
              <w:tabs>
                <w:tab w:val="num" w:pos="720"/>
              </w:tabs>
              <w:rPr>
                <w:rFonts w:ascii="Gill Sans MT" w:hAnsi="Gill Sans MT"/>
              </w:rPr>
            </w:pPr>
            <w:r w:rsidRPr="00E77462">
              <w:rPr>
                <w:rFonts w:ascii="Gill Sans MT" w:hAnsi="Gill Sans MT"/>
              </w:rPr>
              <w:t xml:space="preserve">Total grazing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C3211F">
              <w:t xml:space="preserve">11,233,816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95</w:t>
            </w:r>
            <w:r>
              <w:t>%</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 xml:space="preserve">27,324,242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95</w:t>
            </w:r>
            <w:r>
              <w:t>%</w:t>
            </w:r>
            <w:r w:rsidRPr="00C3211F">
              <w:t xml:space="preserve"> </w:t>
            </w:r>
          </w:p>
        </w:tc>
        <w:tc>
          <w:tcPr>
            <w:tcW w:w="647" w:type="pct"/>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143% </w:t>
            </w:r>
          </w:p>
        </w:tc>
      </w:tr>
      <w:tr w:rsidR="007D7D71" w:rsidRPr="00C3211F"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E77462" w:rsidRDefault="007D7D71" w:rsidP="007D7D71">
            <w:pPr>
              <w:pStyle w:val="woa-footnote-bullet"/>
              <w:numPr>
                <w:ilvl w:val="0"/>
                <w:numId w:val="0"/>
              </w:numPr>
              <w:ind w:left="357"/>
              <w:rPr>
                <w:rFonts w:ascii="Gill Sans MT" w:hAnsi="Gill Sans MT"/>
              </w:rPr>
            </w:pPr>
            <w:r w:rsidRPr="00E77462">
              <w:rPr>
                <w:rFonts w:ascii="Gill Sans MT" w:hAnsi="Gill Sans MT"/>
                <w:lang w:val="de-CH"/>
              </w:rPr>
              <w:t xml:space="preserve">        </w:t>
            </w:r>
            <w:r w:rsidRPr="00E77462">
              <w:rPr>
                <w:rFonts w:ascii="Gill Sans MT" w:hAnsi="Gill Sans MT"/>
              </w:rPr>
              <w:t xml:space="preserve">improved pasture </w:t>
            </w:r>
          </w:p>
        </w:tc>
        <w:tc>
          <w:tcPr>
            <w:tcW w:w="649" w:type="pct"/>
            <w:noWrap/>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 xml:space="preserve">851,710 </w:t>
            </w:r>
          </w:p>
        </w:tc>
        <w:tc>
          <w:tcPr>
            <w:tcW w:w="649" w:type="pct"/>
            <w:noWrap/>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7%</w:t>
            </w:r>
          </w:p>
        </w:tc>
        <w:tc>
          <w:tcPr>
            <w:tcW w:w="649" w:type="pct"/>
            <w:noWrap/>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 xml:space="preserve">941,040 </w:t>
            </w:r>
          </w:p>
        </w:tc>
        <w:tc>
          <w:tcPr>
            <w:tcW w:w="649" w:type="pct"/>
            <w:noWrap/>
            <w:hideMark/>
          </w:tcPr>
          <w:p w:rsidR="007D7D71" w:rsidRPr="00C3211F"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C3211F">
              <w:t>3</w:t>
            </w:r>
            <w:r>
              <w:t>%</w:t>
            </w:r>
            <w:r w:rsidRPr="00C3211F">
              <w:t xml:space="preserve"> </w:t>
            </w:r>
          </w:p>
        </w:tc>
        <w:tc>
          <w:tcPr>
            <w:tcW w:w="647" w:type="pct"/>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10% </w:t>
            </w:r>
          </w:p>
        </w:tc>
      </w:tr>
      <w:tr w:rsidR="007D7D71" w:rsidRPr="00C3211F"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E77462" w:rsidRDefault="007D7D71" w:rsidP="007D7D71">
            <w:pPr>
              <w:pStyle w:val="woa-footnote-bullet"/>
              <w:numPr>
                <w:ilvl w:val="0"/>
                <w:numId w:val="0"/>
              </w:numPr>
              <w:rPr>
                <w:rFonts w:ascii="Gill Sans MT" w:hAnsi="Gill Sans MT"/>
              </w:rPr>
            </w:pPr>
            <w:r w:rsidRPr="00E77462">
              <w:rPr>
                <w:rFonts w:ascii="Gill Sans MT" w:hAnsi="Gill Sans MT"/>
                <w:lang w:val="de-CH"/>
              </w:rPr>
              <w:t xml:space="preserve">                 </w:t>
            </w:r>
            <w:r w:rsidRPr="00E77462">
              <w:rPr>
                <w:rFonts w:ascii="Gill Sans MT" w:hAnsi="Gill Sans MT"/>
              </w:rPr>
              <w:t xml:space="preserve">other land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C3211F">
              <w:t xml:space="preserve">10,382,107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88</w:t>
            </w:r>
            <w:r>
              <w:t>%</w:t>
            </w:r>
            <w:r w:rsidRPr="00C3211F">
              <w:t xml:space="preserve">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 xml:space="preserve">26,383,202 </w:t>
            </w:r>
          </w:p>
        </w:tc>
        <w:tc>
          <w:tcPr>
            <w:tcW w:w="649" w:type="pct"/>
            <w:noWrap/>
            <w:hideMark/>
          </w:tcPr>
          <w:p w:rsidR="007D7D71" w:rsidRPr="00C3211F"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w:t>
            </w:r>
            <w:r w:rsidRPr="00C3211F">
              <w:t>91</w:t>
            </w:r>
            <w:r>
              <w:t>%</w:t>
            </w:r>
            <w:r w:rsidRPr="00C3211F">
              <w:t xml:space="preserve"> </w:t>
            </w:r>
          </w:p>
        </w:tc>
        <w:tc>
          <w:tcPr>
            <w:tcW w:w="647" w:type="pct"/>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154% </w:t>
            </w:r>
          </w:p>
        </w:tc>
      </w:tr>
      <w:tr w:rsidR="007D7D71" w:rsidRPr="00C3211F"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57" w:type="pct"/>
            <w:noWrap/>
            <w:hideMark/>
          </w:tcPr>
          <w:p w:rsidR="007D7D71" w:rsidRPr="00696766" w:rsidRDefault="007D7D71" w:rsidP="007D7D71">
            <w:pPr>
              <w:pStyle w:val="woa-table-text"/>
            </w:pPr>
            <w:r w:rsidRPr="00696766">
              <w:t> Other agricultural purposes</w:t>
            </w:r>
          </w:p>
        </w:tc>
        <w:tc>
          <w:tcPr>
            <w:tcW w:w="649" w:type="pct"/>
            <w:noWrap/>
            <w:hideMark/>
          </w:tcPr>
          <w:p w:rsidR="007D7D71" w:rsidRPr="00696766"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696766">
              <w:t xml:space="preserve"> 716 </w:t>
            </w:r>
          </w:p>
        </w:tc>
        <w:tc>
          <w:tcPr>
            <w:tcW w:w="649" w:type="pct"/>
            <w:noWrap/>
            <w:hideMark/>
          </w:tcPr>
          <w:p w:rsidR="007D7D71" w:rsidRPr="00696766"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696766">
              <w:t xml:space="preserve"> 0% </w:t>
            </w:r>
          </w:p>
        </w:tc>
        <w:tc>
          <w:tcPr>
            <w:tcW w:w="649" w:type="pct"/>
            <w:noWrap/>
            <w:hideMark/>
          </w:tcPr>
          <w:p w:rsidR="007D7D71" w:rsidRPr="00696766"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696766">
              <w:t xml:space="preserve"> 647,074 </w:t>
            </w:r>
          </w:p>
        </w:tc>
        <w:tc>
          <w:tcPr>
            <w:tcW w:w="649" w:type="pct"/>
            <w:noWrap/>
            <w:hideMark/>
          </w:tcPr>
          <w:p w:rsidR="007D7D71" w:rsidRPr="00696766"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696766">
              <w:t xml:space="preserve"> 2% </w:t>
            </w:r>
          </w:p>
        </w:tc>
        <w:tc>
          <w:tcPr>
            <w:tcW w:w="647" w:type="pct"/>
          </w:tcPr>
          <w:p w:rsidR="007D7D71" w:rsidRPr="00696766"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N/A</w:t>
            </w:r>
          </w:p>
        </w:tc>
      </w:tr>
    </w:tbl>
    <w:p w:rsidR="007D7D71" w:rsidRDefault="007D7D71" w:rsidP="007D7D71">
      <w:pPr>
        <w:pStyle w:val="woa-source"/>
      </w:pPr>
      <w:r w:rsidRPr="006557BD">
        <w:rPr>
          <w:noProof/>
        </w:rPr>
        <w:t>Based on: ABS (Customised report, 2016) and ABS (Customised report, 2018).</w:t>
      </w:r>
      <w:r>
        <w:t xml:space="preserve"> Please note that the data shown in this table are not always the same as those shown in other parts of this book, as the data sources are not the same</w:t>
      </w:r>
    </w:p>
    <w:p w:rsidR="007D7D71" w:rsidRDefault="007D7D71" w:rsidP="007D7D71">
      <w:pPr>
        <w:pStyle w:val="woa-standard"/>
      </w:pPr>
      <w:r>
        <w:t xml:space="preserve">Of the area under </w:t>
      </w:r>
      <w:proofErr w:type="spellStart"/>
      <w:r>
        <w:t>broadacre</w:t>
      </w:r>
      <w:proofErr w:type="spellEnd"/>
      <w:r>
        <w:t xml:space="preserve"> crops,</w:t>
      </w:r>
      <w:r>
        <w:rPr>
          <w:rStyle w:val="FootnoteReference"/>
        </w:rPr>
        <w:footnoteReference w:id="3"/>
      </w:r>
      <w:r>
        <w:t xml:space="preserve"> wheat (the main cereal crop) decreased the most, to a bit over half of that in 2010/11 (</w:t>
      </w:r>
      <w:r>
        <w:fldChar w:fldCharType="begin"/>
      </w:r>
      <w:r>
        <w:instrText xml:space="preserve"> REF _Ref535430035 \h </w:instrText>
      </w:r>
      <w:r>
        <w:fldChar w:fldCharType="separate"/>
      </w:r>
      <w:r>
        <w:t xml:space="preserve">Table </w:t>
      </w:r>
      <w:r>
        <w:rPr>
          <w:noProof/>
        </w:rPr>
        <w:t>2</w:t>
      </w:r>
      <w:r>
        <w:fldChar w:fldCharType="end"/>
      </w:r>
      <w:r>
        <w:t xml:space="preserve">). Also, barley (the second most important cereal crop) decreased its acreage by almost a quarter while the oat area increased marginally. The decrease in area under these crops is due partly to a change in water policy in Australia, making it attractive to some farmers using irrigation (including some large organic farms) to sell their land. However, 2015/16 was also a dry year. Farmers who use irrigation, such as grain farmers, are more likely to suffer from adverse weather conditions than fruit and vegetable growers. </w:t>
      </w:r>
      <w:r w:rsidRPr="006557BD">
        <w:rPr>
          <w:noProof/>
        </w:rPr>
        <w:t>In addition</w:t>
      </w:r>
      <w:r>
        <w:t xml:space="preserve">, grain producers also struggle with issues such as nutrients and weeds, making some conventional grain growers more hesitant to convert. </w:t>
      </w:r>
    </w:p>
    <w:p w:rsidR="007D7D71" w:rsidRPr="000414B0" w:rsidRDefault="007D7D71" w:rsidP="007D7D71">
      <w:pPr>
        <w:pStyle w:val="woa-table-headline"/>
      </w:pPr>
      <w:bookmarkStart w:id="3" w:name="_Ref535430035"/>
      <w:r>
        <w:lastRenderedPageBreak/>
        <w:t xml:space="preserve">Table </w:t>
      </w:r>
      <w:r>
        <w:fldChar w:fldCharType="begin"/>
      </w:r>
      <w:r>
        <w:instrText xml:space="preserve"> SEQ Table \* ARABIC </w:instrText>
      </w:r>
      <w:r>
        <w:fldChar w:fldCharType="separate"/>
      </w:r>
      <w:r>
        <w:rPr>
          <w:noProof/>
        </w:rPr>
        <w:t>2</w:t>
      </w:r>
      <w:r>
        <w:fldChar w:fldCharType="end"/>
      </w:r>
      <w:bookmarkEnd w:id="3"/>
      <w:r w:rsidRPr="000414B0">
        <w:t xml:space="preserve">: </w:t>
      </w:r>
      <w:r>
        <w:t>Australia: Crop a</w:t>
      </w:r>
      <w:r w:rsidRPr="000414B0">
        <w:t xml:space="preserve">rea in different years </w:t>
      </w:r>
    </w:p>
    <w:tbl>
      <w:tblPr>
        <w:tblStyle w:val="HellesRaster-Akzent11"/>
        <w:tblW w:w="0" w:type="auto"/>
        <w:tblLook w:val="04A0" w:firstRow="1" w:lastRow="0" w:firstColumn="1" w:lastColumn="0" w:noHBand="0" w:noVBand="1"/>
      </w:tblPr>
      <w:tblGrid>
        <w:gridCol w:w="2406"/>
        <w:gridCol w:w="1156"/>
        <w:gridCol w:w="1155"/>
        <w:gridCol w:w="1221"/>
        <w:gridCol w:w="1300"/>
      </w:tblGrid>
      <w:tr w:rsidR="007D7D71" w:rsidRPr="00D50E9D" w:rsidTr="007D7D7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Pr="005F34F7" w:rsidRDefault="007D7D71" w:rsidP="007D7D71">
            <w:pPr>
              <w:pStyle w:val="woa-table-text"/>
            </w:pPr>
          </w:p>
        </w:tc>
        <w:tc>
          <w:tcPr>
            <w:tcW w:w="1156" w:type="dxa"/>
          </w:tcPr>
          <w:p w:rsidR="007D7D71" w:rsidRPr="005F34F7"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t>2010/1</w:t>
            </w:r>
            <w:r w:rsidRPr="005F34F7">
              <w:t>1</w:t>
            </w:r>
          </w:p>
        </w:tc>
        <w:tc>
          <w:tcPr>
            <w:tcW w:w="1155" w:type="dxa"/>
          </w:tcPr>
          <w:p w:rsidR="007D7D71" w:rsidRPr="005F34F7"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t>2015/1</w:t>
            </w:r>
            <w:r w:rsidRPr="005F34F7">
              <w:t>6</w:t>
            </w:r>
          </w:p>
        </w:tc>
        <w:tc>
          <w:tcPr>
            <w:tcW w:w="1221" w:type="dxa"/>
          </w:tcPr>
          <w:p w:rsidR="007D7D71" w:rsidRPr="005F34F7"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t>2015/1</w:t>
            </w:r>
            <w:r w:rsidRPr="005F34F7">
              <w:t>6</w:t>
            </w:r>
            <w:r>
              <w:t xml:space="preserve"> minus</w:t>
            </w:r>
            <w:r w:rsidRPr="005F34F7">
              <w:t xml:space="preserve"> </w:t>
            </w:r>
            <w:r>
              <w:t>2010/1</w:t>
            </w:r>
            <w:r w:rsidRPr="005F34F7">
              <w:t>1</w:t>
            </w:r>
          </w:p>
        </w:tc>
        <w:tc>
          <w:tcPr>
            <w:tcW w:w="1300" w:type="dxa"/>
          </w:tcPr>
          <w:p w:rsidR="007D7D71" w:rsidRPr="005F34F7"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t>2015/1</w:t>
            </w:r>
            <w:r w:rsidRPr="005F34F7">
              <w:t xml:space="preserve">6 minus </w:t>
            </w:r>
            <w:r>
              <w:t>2010/1</w:t>
            </w:r>
            <w:r w:rsidRPr="005F34F7">
              <w:t>1</w:t>
            </w:r>
          </w:p>
        </w:tc>
      </w:tr>
      <w:tr w:rsidR="007D7D71"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p>
        </w:tc>
        <w:tc>
          <w:tcPr>
            <w:tcW w:w="1156" w:type="dxa"/>
          </w:tcPr>
          <w:p w:rsidR="007D7D71"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 xml:space="preserve">Hectares </w:t>
            </w:r>
          </w:p>
        </w:tc>
        <w:tc>
          <w:tcPr>
            <w:tcW w:w="0" w:type="auto"/>
          </w:tcPr>
          <w:p w:rsidR="007D7D71"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Hectares</w:t>
            </w:r>
          </w:p>
        </w:tc>
        <w:tc>
          <w:tcPr>
            <w:tcW w:w="0" w:type="auto"/>
          </w:tcPr>
          <w:p w:rsidR="007D7D71"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Hectares</w:t>
            </w:r>
          </w:p>
        </w:tc>
        <w:tc>
          <w:tcPr>
            <w:tcW w:w="0" w:type="auto"/>
          </w:tcPr>
          <w:p w:rsidR="007D7D71"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 change</w:t>
            </w:r>
          </w:p>
        </w:tc>
      </w:tr>
      <w:tr w:rsidR="007D7D71"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r>
              <w:t>Area mainly used for crop</w:t>
            </w:r>
            <w:r>
              <w:rPr>
                <w:rStyle w:val="FootnoteReference"/>
              </w:rPr>
              <w:footnoteReference w:id="4"/>
            </w:r>
          </w:p>
        </w:tc>
        <w:tc>
          <w:tcPr>
            <w:tcW w:w="1156" w:type="dxa"/>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200,197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169,087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- 31,110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- 16 </w:t>
            </w:r>
          </w:p>
        </w:tc>
      </w:tr>
      <w:tr w:rsidR="007D7D71"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r>
              <w:t>Crops - total</w:t>
            </w:r>
          </w:p>
        </w:tc>
        <w:tc>
          <w:tcPr>
            <w:tcW w:w="1156" w:type="dxa"/>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109,583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94,981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- 14,602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- 13 </w:t>
            </w:r>
          </w:p>
        </w:tc>
      </w:tr>
      <w:tr w:rsidR="007D7D71"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r>
              <w:t xml:space="preserve">Crops - </w:t>
            </w:r>
            <w:proofErr w:type="spellStart"/>
            <w:r>
              <w:t>broadacre</w:t>
            </w:r>
            <w:proofErr w:type="spellEnd"/>
          </w:p>
        </w:tc>
        <w:tc>
          <w:tcPr>
            <w:tcW w:w="1156" w:type="dxa"/>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95,010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64,866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- 30,144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- 32 </w:t>
            </w:r>
          </w:p>
        </w:tc>
      </w:tr>
      <w:tr w:rsidR="007D7D71"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Pr="00F025BD" w:rsidRDefault="007D7D71" w:rsidP="007D7D71">
            <w:pPr>
              <w:pStyle w:val="woa-table-text"/>
              <w:numPr>
                <w:ilvl w:val="0"/>
                <w:numId w:val="2"/>
              </w:numPr>
            </w:pPr>
            <w:r w:rsidRPr="00F025BD">
              <w:t>Wheat</w:t>
            </w:r>
          </w:p>
        </w:tc>
        <w:tc>
          <w:tcPr>
            <w:tcW w:w="1156" w:type="dxa"/>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44,366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24,759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- 19,606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- 44 </w:t>
            </w:r>
          </w:p>
        </w:tc>
      </w:tr>
      <w:tr w:rsidR="007D7D71"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Pr="00F025BD" w:rsidRDefault="007D7D71" w:rsidP="007D7D71">
            <w:pPr>
              <w:pStyle w:val="woa-table-text"/>
              <w:numPr>
                <w:ilvl w:val="0"/>
                <w:numId w:val="2"/>
              </w:numPr>
            </w:pPr>
            <w:r w:rsidRPr="00F025BD">
              <w:t>Barley</w:t>
            </w:r>
          </w:p>
        </w:tc>
        <w:tc>
          <w:tcPr>
            <w:tcW w:w="1156" w:type="dxa"/>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10,505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8,215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- 2,290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- 22 </w:t>
            </w:r>
          </w:p>
        </w:tc>
      </w:tr>
      <w:tr w:rsidR="007D7D71"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Pr="00F025BD" w:rsidRDefault="007D7D71" w:rsidP="007D7D71">
            <w:pPr>
              <w:pStyle w:val="woa-table-text"/>
              <w:numPr>
                <w:ilvl w:val="0"/>
                <w:numId w:val="2"/>
              </w:numPr>
            </w:pPr>
            <w:r w:rsidRPr="00F025BD">
              <w:t>Oats</w:t>
            </w:r>
          </w:p>
        </w:tc>
        <w:tc>
          <w:tcPr>
            <w:tcW w:w="1156" w:type="dxa"/>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8,013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8,319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306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4 </w:t>
            </w:r>
          </w:p>
        </w:tc>
      </w:tr>
      <w:tr w:rsidR="007D7D71"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r>
              <w:t>Fruit – excl. grapes</w:t>
            </w:r>
          </w:p>
        </w:tc>
        <w:tc>
          <w:tcPr>
            <w:tcW w:w="1156" w:type="dxa"/>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4,093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4,567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473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12 </w:t>
            </w:r>
          </w:p>
        </w:tc>
      </w:tr>
      <w:tr w:rsidR="007D7D71"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r>
              <w:t>Grapes – total</w:t>
            </w:r>
          </w:p>
        </w:tc>
        <w:tc>
          <w:tcPr>
            <w:tcW w:w="1156" w:type="dxa"/>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4,079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5,783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1,704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42 </w:t>
            </w:r>
          </w:p>
        </w:tc>
      </w:tr>
      <w:tr w:rsidR="007D7D71"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Pr="00F025BD" w:rsidRDefault="007D7D71" w:rsidP="007D7D71">
            <w:pPr>
              <w:pStyle w:val="woa-table-text"/>
              <w:numPr>
                <w:ilvl w:val="0"/>
                <w:numId w:val="2"/>
              </w:numPr>
            </w:pPr>
            <w:r w:rsidRPr="00F025BD">
              <w:t xml:space="preserve">Grapes </w:t>
            </w:r>
            <w:r>
              <w:t>–</w:t>
            </w:r>
            <w:r w:rsidRPr="00F025BD">
              <w:t xml:space="preserve"> wine</w:t>
            </w:r>
          </w:p>
        </w:tc>
        <w:tc>
          <w:tcPr>
            <w:tcW w:w="1156" w:type="dxa"/>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3,970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4,895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925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23 </w:t>
            </w:r>
          </w:p>
        </w:tc>
      </w:tr>
      <w:tr w:rsidR="007D7D71"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Pr="00F025BD" w:rsidRDefault="007D7D71" w:rsidP="007D7D71">
            <w:pPr>
              <w:pStyle w:val="woa-table-text"/>
              <w:numPr>
                <w:ilvl w:val="0"/>
                <w:numId w:val="2"/>
              </w:numPr>
            </w:pPr>
            <w:r w:rsidRPr="00F025BD">
              <w:t>Grapes - other</w:t>
            </w:r>
          </w:p>
        </w:tc>
        <w:tc>
          <w:tcPr>
            <w:tcW w:w="1156" w:type="dxa"/>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110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5F34F7">
              <w:t>888</w:t>
            </w:r>
            <w:r>
              <w:t xml:space="preserve">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779 </w:t>
            </w:r>
          </w:p>
        </w:tc>
        <w:tc>
          <w:tcPr>
            <w:tcW w:w="0" w:type="auto"/>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711 </w:t>
            </w:r>
          </w:p>
        </w:tc>
      </w:tr>
      <w:tr w:rsidR="007D7D71" w:rsidTr="007D7D71">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06" w:type="dxa"/>
          </w:tcPr>
          <w:p w:rsidR="007D7D71" w:rsidRDefault="007D7D71" w:rsidP="007D7D71">
            <w:pPr>
              <w:pStyle w:val="woa-table-text"/>
            </w:pPr>
            <w:r>
              <w:t>Vegetables</w:t>
            </w:r>
          </w:p>
        </w:tc>
        <w:tc>
          <w:tcPr>
            <w:tcW w:w="1156" w:type="dxa"/>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2,779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3,902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1,123 </w:t>
            </w:r>
          </w:p>
        </w:tc>
        <w:tc>
          <w:tcPr>
            <w:tcW w:w="0" w:type="auto"/>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40 </w:t>
            </w:r>
          </w:p>
        </w:tc>
      </w:tr>
    </w:tbl>
    <w:p w:rsidR="007D7D71" w:rsidRDefault="007D7D71" w:rsidP="007D7D71">
      <w:pPr>
        <w:pStyle w:val="woa-source"/>
        <w:rPr>
          <w:noProof/>
        </w:rPr>
      </w:pPr>
      <w:r w:rsidRPr="00F9124D">
        <w:rPr>
          <w:noProof/>
        </w:rPr>
        <w:t>Based on: ABS (Customised report, 2016) and</w:t>
      </w:r>
      <w:r>
        <w:rPr>
          <w:noProof/>
        </w:rPr>
        <w:t xml:space="preserve"> ABS (Customised report, 2018)</w:t>
      </w:r>
    </w:p>
    <w:p w:rsidR="007D7D71" w:rsidRDefault="007D7D71" w:rsidP="007D7D71">
      <w:pPr>
        <w:pStyle w:val="woa-standard"/>
      </w:pPr>
      <w:r>
        <w:t xml:space="preserve">Fruit production area (other than grapes) increased somewhat (12 percent), but the most significant increase in area </w:t>
      </w:r>
      <w:r w:rsidRPr="006557BD">
        <w:rPr>
          <w:noProof/>
        </w:rPr>
        <w:t>was seen</w:t>
      </w:r>
      <w:r>
        <w:t xml:space="preserve"> on properties with mainly </w:t>
      </w:r>
      <w:proofErr w:type="gramStart"/>
      <w:r>
        <w:t>vegetables(</w:t>
      </w:r>
      <w:proofErr w:type="gramEnd"/>
      <w:r>
        <w:t xml:space="preserve">40 percent). </w:t>
      </w:r>
    </w:p>
    <w:p w:rsidR="007D7D71" w:rsidRDefault="007D7D71" w:rsidP="007D7D71">
      <w:pPr>
        <w:pStyle w:val="woa-h3"/>
        <w:tabs>
          <w:tab w:val="left" w:pos="5590"/>
        </w:tabs>
        <w:rPr>
          <w:noProof/>
        </w:rPr>
      </w:pPr>
      <w:r>
        <w:rPr>
          <w:noProof/>
        </w:rPr>
        <w:t>Production volumes</w:t>
      </w:r>
      <w:r>
        <w:rPr>
          <w:noProof/>
        </w:rPr>
        <w:tab/>
      </w:r>
    </w:p>
    <w:p w:rsidR="007D7D71" w:rsidRDefault="007D7D71" w:rsidP="007D7D71">
      <w:pPr>
        <w:pStyle w:val="woa-standard"/>
        <w:rPr>
          <w:sz w:val="18"/>
        </w:rPr>
      </w:pPr>
      <w:r>
        <w:rPr>
          <w:lang w:val="en-US"/>
        </w:rPr>
        <w:t>Production volumes for</w:t>
      </w:r>
      <w:r w:rsidRPr="00696766">
        <w:rPr>
          <w:lang w:val="en-US"/>
        </w:rPr>
        <w:t xml:space="preserve"> some commodities </w:t>
      </w:r>
      <w:r>
        <w:rPr>
          <w:lang w:val="en-US"/>
        </w:rPr>
        <w:t xml:space="preserve">decreased </w:t>
      </w:r>
      <w:r w:rsidRPr="00696766">
        <w:rPr>
          <w:lang w:val="en-US"/>
        </w:rPr>
        <w:t xml:space="preserve">between </w:t>
      </w:r>
      <w:r>
        <w:rPr>
          <w:lang w:val="en-US"/>
        </w:rPr>
        <w:t>2010/11 and 2015/16</w:t>
      </w:r>
      <w:r w:rsidRPr="00696766">
        <w:rPr>
          <w:lang w:val="en-US"/>
        </w:rPr>
        <w:t xml:space="preserve"> </w:t>
      </w:r>
      <w:r w:rsidRPr="00E77462">
        <w:t>(</w:t>
      </w:r>
      <w:r w:rsidRPr="00E77462">
        <w:fldChar w:fldCharType="begin"/>
      </w:r>
      <w:r w:rsidRPr="00E77462">
        <w:instrText xml:space="preserve"> REF _Ref535429016 \h  \* MERGEFORMAT </w:instrText>
      </w:r>
      <w:r w:rsidRPr="00E77462">
        <w:fldChar w:fldCharType="separate"/>
      </w:r>
      <w:r w:rsidRPr="00E77462">
        <w:t>Table 3</w:t>
      </w:r>
      <w:r w:rsidRPr="00E77462">
        <w:fldChar w:fldCharType="end"/>
      </w:r>
      <w:r w:rsidRPr="00A078FF">
        <w:t>).</w:t>
      </w:r>
      <w:r>
        <w:t xml:space="preserve"> </w:t>
      </w:r>
    </w:p>
    <w:p w:rsidR="007D7D71" w:rsidRPr="00562A8C" w:rsidRDefault="007D7D71" w:rsidP="007D7D71">
      <w:pPr>
        <w:pStyle w:val="woa-table-headline"/>
      </w:pPr>
      <w:bookmarkStart w:id="4" w:name="_Ref535429016"/>
      <w:r>
        <w:t xml:space="preserve">Table </w:t>
      </w:r>
      <w:r>
        <w:fldChar w:fldCharType="begin"/>
      </w:r>
      <w:r>
        <w:instrText xml:space="preserve"> SEQ Table \* ARABIC </w:instrText>
      </w:r>
      <w:r>
        <w:fldChar w:fldCharType="separate"/>
      </w:r>
      <w:r>
        <w:rPr>
          <w:noProof/>
        </w:rPr>
        <w:t>3</w:t>
      </w:r>
      <w:r>
        <w:fldChar w:fldCharType="end"/>
      </w:r>
      <w:bookmarkEnd w:id="4"/>
      <w:r>
        <w:t>:</w:t>
      </w:r>
      <w:r w:rsidRPr="00562A8C">
        <w:t xml:space="preserve"> </w:t>
      </w:r>
      <w:r>
        <w:t xml:space="preserve">Australia: </w:t>
      </w:r>
      <w:r w:rsidRPr="00562A8C">
        <w:t>Production of selected commodities in different years</w:t>
      </w:r>
    </w:p>
    <w:tbl>
      <w:tblPr>
        <w:tblStyle w:val="HelleSchattierung-Akzent11"/>
        <w:tblW w:w="5000" w:type="pct"/>
        <w:tblLayout w:type="fixed"/>
        <w:tblLook w:val="04A0" w:firstRow="1" w:lastRow="0" w:firstColumn="1" w:lastColumn="0" w:noHBand="0" w:noVBand="1"/>
      </w:tblPr>
      <w:tblGrid>
        <w:gridCol w:w="1768"/>
        <w:gridCol w:w="1101"/>
        <w:gridCol w:w="1594"/>
        <w:gridCol w:w="1593"/>
        <w:gridCol w:w="1593"/>
        <w:gridCol w:w="1593"/>
      </w:tblGrid>
      <w:tr w:rsidR="007D7D71" w:rsidRPr="00D50E9D" w:rsidTr="007D7D71">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6" w:type="pct"/>
            <w:noWrap/>
          </w:tcPr>
          <w:p w:rsidR="007D7D71" w:rsidRPr="0034588B" w:rsidRDefault="007D7D71" w:rsidP="007D7D71">
            <w:pPr>
              <w:pStyle w:val="woa-table-text"/>
            </w:pPr>
          </w:p>
        </w:tc>
        <w:tc>
          <w:tcPr>
            <w:tcW w:w="595" w:type="pct"/>
            <w:noWrap/>
          </w:tcPr>
          <w:p w:rsidR="007D7D71" w:rsidRPr="0034588B" w:rsidRDefault="007D7D71" w:rsidP="007D7D71">
            <w:pPr>
              <w:pStyle w:val="woa-table-text"/>
              <w:cnfStyle w:val="100000000000" w:firstRow="1" w:lastRow="0" w:firstColumn="0" w:lastColumn="0" w:oddVBand="0" w:evenVBand="0" w:oddHBand="0" w:evenHBand="0" w:firstRowFirstColumn="0" w:firstRowLastColumn="0" w:lastRowFirstColumn="0" w:lastRowLastColumn="0"/>
            </w:pPr>
          </w:p>
        </w:tc>
        <w:tc>
          <w:tcPr>
            <w:tcW w:w="862" w:type="pct"/>
            <w:noWrap/>
          </w:tcPr>
          <w:p w:rsidR="007D7D71" w:rsidRPr="0034588B"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rsidRPr="0034588B">
              <w:t>2010</w:t>
            </w:r>
            <w:r>
              <w:t>/</w:t>
            </w:r>
            <w:r w:rsidRPr="0034588B">
              <w:t>11</w:t>
            </w:r>
          </w:p>
        </w:tc>
        <w:tc>
          <w:tcPr>
            <w:tcW w:w="862" w:type="pct"/>
            <w:noWrap/>
          </w:tcPr>
          <w:p w:rsidR="007D7D71" w:rsidRPr="0034588B"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rsidRPr="0034588B">
              <w:t>2015</w:t>
            </w:r>
            <w:r>
              <w:t>/</w:t>
            </w:r>
            <w:r w:rsidRPr="0034588B">
              <w:t>16</w:t>
            </w:r>
          </w:p>
        </w:tc>
        <w:tc>
          <w:tcPr>
            <w:tcW w:w="862" w:type="pct"/>
            <w:noWrap/>
          </w:tcPr>
          <w:p w:rsidR="007D7D71" w:rsidRPr="0034588B"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t xml:space="preserve">Change </w:t>
            </w:r>
          </w:p>
        </w:tc>
        <w:tc>
          <w:tcPr>
            <w:tcW w:w="862" w:type="pct"/>
            <w:noWrap/>
          </w:tcPr>
          <w:p w:rsidR="007D7D71" w:rsidRPr="0034588B" w:rsidRDefault="007D7D71" w:rsidP="007D7D71">
            <w:pPr>
              <w:pStyle w:val="woa-table-text"/>
              <w:cnfStyle w:val="100000000000" w:firstRow="1" w:lastRow="0" w:firstColumn="0" w:lastColumn="0" w:oddVBand="0" w:evenVBand="0" w:oddHBand="0" w:evenHBand="0" w:firstRowFirstColumn="0" w:firstRowLastColumn="0" w:lastRowFirstColumn="0" w:lastRowLastColumn="0"/>
            </w:pPr>
            <w:r w:rsidRPr="0034588B">
              <w:t>% change</w:t>
            </w:r>
          </w:p>
        </w:tc>
      </w:tr>
      <w:tr w:rsidR="007D7D71" w:rsidRPr="00562A8C"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6" w:type="pct"/>
            <w:noWrap/>
            <w:hideMark/>
          </w:tcPr>
          <w:p w:rsidR="007D7D71" w:rsidRPr="00562A8C" w:rsidRDefault="007D7D71" w:rsidP="007D7D71">
            <w:pPr>
              <w:pStyle w:val="woa-table-text"/>
            </w:pPr>
            <w:r w:rsidRPr="00562A8C">
              <w:t>Wheat</w:t>
            </w:r>
          </w:p>
        </w:tc>
        <w:tc>
          <w:tcPr>
            <w:tcW w:w="595" w:type="pct"/>
            <w:noWrap/>
            <w:hideMark/>
          </w:tcPr>
          <w:p w:rsidR="007D7D71" w:rsidRPr="00562A8C"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Metric ton</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562A8C">
              <w:t xml:space="preserve">79,707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562A8C">
              <w:t xml:space="preserve">37,864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-41,843</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-52</w:t>
            </w:r>
            <w:r>
              <w:t>%</w:t>
            </w:r>
          </w:p>
        </w:tc>
      </w:tr>
      <w:tr w:rsidR="007D7D71" w:rsidRPr="00562A8C" w:rsidTr="007D7D71">
        <w:trPr>
          <w:trHeight w:val="227"/>
        </w:trPr>
        <w:tc>
          <w:tcPr>
            <w:cnfStyle w:val="001000000000" w:firstRow="0" w:lastRow="0" w:firstColumn="1" w:lastColumn="0" w:oddVBand="0" w:evenVBand="0" w:oddHBand="0" w:evenHBand="0" w:firstRowFirstColumn="0" w:firstRowLastColumn="0" w:lastRowFirstColumn="0" w:lastRowLastColumn="0"/>
            <w:tcW w:w="956" w:type="pct"/>
            <w:noWrap/>
            <w:hideMark/>
          </w:tcPr>
          <w:p w:rsidR="007D7D71" w:rsidRPr="00562A8C" w:rsidRDefault="007D7D71" w:rsidP="007D7D71">
            <w:pPr>
              <w:pStyle w:val="woa-table-text"/>
            </w:pPr>
            <w:r w:rsidRPr="00562A8C">
              <w:t>Barley</w:t>
            </w:r>
          </w:p>
        </w:tc>
        <w:tc>
          <w:tcPr>
            <w:tcW w:w="595" w:type="pct"/>
            <w:noWrap/>
            <w:hideMark/>
          </w:tcPr>
          <w:p w:rsidR="007D7D71" w:rsidRPr="00562A8C" w:rsidRDefault="007D7D71" w:rsidP="007D7D71">
            <w:pPr>
              <w:pStyle w:val="woa-table-text"/>
              <w:cnfStyle w:val="000000000000" w:firstRow="0" w:lastRow="0" w:firstColumn="0" w:lastColumn="0" w:oddVBand="0" w:evenVBand="0" w:oddHBand="0" w:evenHBand="0" w:firstRowFirstColumn="0" w:firstRowLastColumn="0" w:lastRowFirstColumn="0" w:lastRowLastColumn="0"/>
            </w:pPr>
            <w:r>
              <w:t>Metric ton</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 xml:space="preserve">18,204 </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 xml:space="preserve">17,024 </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-1,180</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-6</w:t>
            </w:r>
            <w:r>
              <w:t>%</w:t>
            </w:r>
          </w:p>
        </w:tc>
      </w:tr>
      <w:tr w:rsidR="007D7D71" w:rsidRPr="00562A8C"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6" w:type="pct"/>
            <w:noWrap/>
            <w:hideMark/>
          </w:tcPr>
          <w:p w:rsidR="007D7D71" w:rsidRPr="00562A8C" w:rsidRDefault="007D7D71" w:rsidP="007D7D71">
            <w:pPr>
              <w:pStyle w:val="woa-table-text"/>
            </w:pPr>
            <w:r w:rsidRPr="00562A8C">
              <w:t>Oats</w:t>
            </w:r>
          </w:p>
        </w:tc>
        <w:tc>
          <w:tcPr>
            <w:tcW w:w="595" w:type="pct"/>
            <w:noWrap/>
            <w:hideMark/>
          </w:tcPr>
          <w:p w:rsidR="007D7D71" w:rsidRPr="00562A8C"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Metric ton</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 xml:space="preserve">12,392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 xml:space="preserve">7,108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-5,284</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-43</w:t>
            </w:r>
            <w:r>
              <w:t>%</w:t>
            </w:r>
          </w:p>
        </w:tc>
      </w:tr>
      <w:tr w:rsidR="007D7D71" w:rsidRPr="00562A8C" w:rsidTr="007D7D71">
        <w:trPr>
          <w:trHeight w:val="227"/>
        </w:trPr>
        <w:tc>
          <w:tcPr>
            <w:cnfStyle w:val="001000000000" w:firstRow="0" w:lastRow="0" w:firstColumn="1" w:lastColumn="0" w:oddVBand="0" w:evenVBand="0" w:oddHBand="0" w:evenHBand="0" w:firstRowFirstColumn="0" w:firstRowLastColumn="0" w:lastRowFirstColumn="0" w:lastRowLastColumn="0"/>
            <w:tcW w:w="956" w:type="pct"/>
            <w:noWrap/>
          </w:tcPr>
          <w:p w:rsidR="007D7D71" w:rsidRPr="00562A8C" w:rsidRDefault="007D7D71" w:rsidP="007D7D71">
            <w:pPr>
              <w:pStyle w:val="woa-table-text"/>
            </w:pPr>
            <w:r>
              <w:t>Grapes for wine</w:t>
            </w:r>
          </w:p>
        </w:tc>
        <w:tc>
          <w:tcPr>
            <w:tcW w:w="595" w:type="pct"/>
            <w:noWrap/>
          </w:tcPr>
          <w:p w:rsidR="007D7D71" w:rsidRPr="00562A8C" w:rsidRDefault="007D7D71" w:rsidP="007D7D71">
            <w:pPr>
              <w:pStyle w:val="woa-table-text"/>
              <w:cnfStyle w:val="000000000000" w:firstRow="0" w:lastRow="0" w:firstColumn="0" w:lastColumn="0" w:oddVBand="0" w:evenVBand="0" w:oddHBand="0" w:evenHBand="0" w:firstRowFirstColumn="0" w:firstRowLastColumn="0" w:lastRowFirstColumn="0" w:lastRowLastColumn="0"/>
            </w:pPr>
            <w:r>
              <w:t>Metric ton</w:t>
            </w:r>
          </w:p>
        </w:tc>
        <w:tc>
          <w:tcPr>
            <w:tcW w:w="862" w:type="pct"/>
            <w:noWrap/>
          </w:tcPr>
          <w:p w:rsidR="007D7D71"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t xml:space="preserve">48,743 </w:t>
            </w:r>
          </w:p>
        </w:tc>
        <w:tc>
          <w:tcPr>
            <w:tcW w:w="862" w:type="pct"/>
            <w:noWrap/>
          </w:tcPr>
          <w:p w:rsidR="007D7D71"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t>56,140</w:t>
            </w:r>
          </w:p>
        </w:tc>
        <w:tc>
          <w:tcPr>
            <w:tcW w:w="862" w:type="pct"/>
            <w:noWrap/>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t xml:space="preserve"> 7,397.6 </w:t>
            </w:r>
          </w:p>
        </w:tc>
        <w:tc>
          <w:tcPr>
            <w:tcW w:w="862" w:type="pct"/>
            <w:noWrap/>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t xml:space="preserve">15.2% </w:t>
            </w:r>
          </w:p>
        </w:tc>
      </w:tr>
      <w:tr w:rsidR="007D7D71" w:rsidRPr="00562A8C"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6" w:type="pct"/>
            <w:noWrap/>
            <w:hideMark/>
          </w:tcPr>
          <w:p w:rsidR="007D7D71" w:rsidRPr="00562A8C" w:rsidRDefault="007D7D71" w:rsidP="007D7D71">
            <w:pPr>
              <w:pStyle w:val="woa-table-text"/>
            </w:pPr>
            <w:r w:rsidRPr="00562A8C">
              <w:t>Cattle - meat</w:t>
            </w:r>
          </w:p>
        </w:tc>
        <w:tc>
          <w:tcPr>
            <w:tcW w:w="595" w:type="pct"/>
            <w:noWrap/>
            <w:hideMark/>
          </w:tcPr>
          <w:p w:rsidR="007D7D71" w:rsidRPr="00562A8C"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N</w:t>
            </w:r>
            <w:r w:rsidRPr="00562A8C">
              <w:t>o.</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562A8C">
              <w:t xml:space="preserve">340,387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562A8C">
              <w:t xml:space="preserve">803,140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462,753</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136</w:t>
            </w:r>
            <w:r>
              <w:t>%</w:t>
            </w:r>
          </w:p>
        </w:tc>
      </w:tr>
      <w:tr w:rsidR="007D7D71" w:rsidRPr="00562A8C" w:rsidTr="007D7D71">
        <w:trPr>
          <w:trHeight w:val="227"/>
        </w:trPr>
        <w:tc>
          <w:tcPr>
            <w:cnfStyle w:val="001000000000" w:firstRow="0" w:lastRow="0" w:firstColumn="1" w:lastColumn="0" w:oddVBand="0" w:evenVBand="0" w:oddHBand="0" w:evenHBand="0" w:firstRowFirstColumn="0" w:firstRowLastColumn="0" w:lastRowFirstColumn="0" w:lastRowLastColumn="0"/>
            <w:tcW w:w="956" w:type="pct"/>
            <w:noWrap/>
            <w:hideMark/>
          </w:tcPr>
          <w:p w:rsidR="007D7D71" w:rsidRPr="00562A8C" w:rsidRDefault="007D7D71" w:rsidP="007D7D71">
            <w:pPr>
              <w:pStyle w:val="woa-table-text"/>
            </w:pPr>
            <w:r w:rsidRPr="00562A8C">
              <w:t>Sheep and lamb</w:t>
            </w:r>
          </w:p>
        </w:tc>
        <w:tc>
          <w:tcPr>
            <w:tcW w:w="595" w:type="pct"/>
            <w:noWrap/>
            <w:hideMark/>
          </w:tcPr>
          <w:p w:rsidR="007D7D71" w:rsidRPr="00562A8C" w:rsidRDefault="007D7D71" w:rsidP="007D7D71">
            <w:pPr>
              <w:pStyle w:val="woa-table-text"/>
              <w:cnfStyle w:val="000000000000" w:firstRow="0" w:lastRow="0" w:firstColumn="0" w:lastColumn="0" w:oddVBand="0" w:evenVBand="0" w:oddHBand="0" w:evenHBand="0" w:firstRowFirstColumn="0" w:firstRowLastColumn="0" w:lastRowFirstColumn="0" w:lastRowLastColumn="0"/>
            </w:pPr>
            <w:r>
              <w:t>N</w:t>
            </w:r>
            <w:r w:rsidRPr="00562A8C">
              <w:t>o.</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t xml:space="preserve"> </w:t>
            </w:r>
            <w:r w:rsidRPr="00562A8C">
              <w:t xml:space="preserve">859,823 </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 xml:space="preserve">725,180 </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-134,643</w:t>
            </w:r>
          </w:p>
        </w:tc>
        <w:tc>
          <w:tcPr>
            <w:tcW w:w="862" w:type="pct"/>
            <w:noWrap/>
            <w:hideMark/>
          </w:tcPr>
          <w:p w:rsidR="007D7D71" w:rsidRPr="00562A8C" w:rsidRDefault="007D7D71" w:rsidP="007D7D71">
            <w:pPr>
              <w:pStyle w:val="woa-table-text"/>
              <w:jc w:val="right"/>
              <w:cnfStyle w:val="000000000000" w:firstRow="0" w:lastRow="0" w:firstColumn="0" w:lastColumn="0" w:oddVBand="0" w:evenVBand="0" w:oddHBand="0" w:evenHBand="0" w:firstRowFirstColumn="0" w:firstRowLastColumn="0" w:lastRowFirstColumn="0" w:lastRowLastColumn="0"/>
            </w:pPr>
            <w:r w:rsidRPr="00562A8C">
              <w:t>-16</w:t>
            </w:r>
            <w:r>
              <w:t>%</w:t>
            </w:r>
          </w:p>
        </w:tc>
      </w:tr>
      <w:tr w:rsidR="007D7D71" w:rsidRPr="00562A8C" w:rsidTr="007D7D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56" w:type="pct"/>
            <w:noWrap/>
            <w:hideMark/>
          </w:tcPr>
          <w:p w:rsidR="007D7D71" w:rsidRPr="00562A8C" w:rsidRDefault="007D7D71" w:rsidP="007D7D71">
            <w:pPr>
              <w:pStyle w:val="woa-table-text"/>
            </w:pPr>
            <w:r w:rsidRPr="00562A8C">
              <w:t>Dairy cattle</w:t>
            </w:r>
          </w:p>
        </w:tc>
        <w:tc>
          <w:tcPr>
            <w:tcW w:w="595" w:type="pct"/>
            <w:noWrap/>
            <w:hideMark/>
          </w:tcPr>
          <w:p w:rsidR="007D7D71" w:rsidRPr="00562A8C" w:rsidRDefault="007D7D71" w:rsidP="007D7D71">
            <w:pPr>
              <w:pStyle w:val="woa-table-text"/>
              <w:cnfStyle w:val="000000100000" w:firstRow="0" w:lastRow="0" w:firstColumn="0" w:lastColumn="0" w:oddVBand="0" w:evenVBand="0" w:oddHBand="1" w:evenHBand="0" w:firstRowFirstColumn="0" w:firstRowLastColumn="0" w:lastRowFirstColumn="0" w:lastRowLastColumn="0"/>
            </w:pPr>
            <w:r>
              <w:t>N</w:t>
            </w:r>
            <w:r w:rsidRPr="00562A8C">
              <w:t>o.</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w:t>
            </w:r>
            <w:r w:rsidRPr="00562A8C">
              <w:t xml:space="preserve">12,554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 xml:space="preserve">15,394 </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2,840</w:t>
            </w:r>
          </w:p>
        </w:tc>
        <w:tc>
          <w:tcPr>
            <w:tcW w:w="862" w:type="pct"/>
            <w:noWrap/>
            <w:hideMark/>
          </w:tcPr>
          <w:p w:rsidR="007D7D71" w:rsidRPr="00562A8C"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562A8C">
              <w:t>23</w:t>
            </w:r>
            <w:r>
              <w:t>%</w:t>
            </w:r>
          </w:p>
        </w:tc>
      </w:tr>
    </w:tbl>
    <w:p w:rsidR="007D7D71" w:rsidRDefault="007D7D71" w:rsidP="007D7D71">
      <w:pPr>
        <w:pStyle w:val="woa-source"/>
      </w:pPr>
      <w:r w:rsidRPr="00F9124D">
        <w:rPr>
          <w:noProof/>
        </w:rPr>
        <w:t>Based on: ABS (Customised report, 2016) an</w:t>
      </w:r>
      <w:r>
        <w:rPr>
          <w:noProof/>
        </w:rPr>
        <w:t>d ABS (Customised report, 2018)</w:t>
      </w:r>
    </w:p>
    <w:p w:rsidR="007D7D71" w:rsidRDefault="007D7D71" w:rsidP="007D7D71">
      <w:pPr>
        <w:pStyle w:val="woa-standard"/>
      </w:pPr>
      <w:r>
        <w:t>The decrease in the production of wheat between 2010/11 and 2015/16 is quite in line with the decrease in wheat production area. For barley, however, almost as much barley was produced in 2015/16 as in 2010/11 despite a decrease of almost one quarter in the area under barley</w:t>
      </w:r>
      <w:r w:rsidRPr="00F124AD">
        <w:t xml:space="preserve">. </w:t>
      </w:r>
      <w:r>
        <w:t>F</w:t>
      </w:r>
      <w:r w:rsidRPr="00F124AD">
        <w:t>or oats</w:t>
      </w:r>
      <w:proofErr w:type="gramStart"/>
      <w:r>
        <w:t>,</w:t>
      </w:r>
      <w:r w:rsidRPr="00F124AD">
        <w:t xml:space="preserve"> </w:t>
      </w:r>
      <w:r>
        <w:t xml:space="preserve"> the</w:t>
      </w:r>
      <w:proofErr w:type="gramEnd"/>
      <w:r>
        <w:t xml:space="preserve"> period saw a decrease of</w:t>
      </w:r>
      <w:r w:rsidRPr="00F124AD">
        <w:t xml:space="preserve"> 22 </w:t>
      </w:r>
      <w:r>
        <w:t>percent</w:t>
      </w:r>
      <w:r w:rsidRPr="00F124AD">
        <w:t xml:space="preserve"> in </w:t>
      </w:r>
      <w:r>
        <w:t xml:space="preserve">the </w:t>
      </w:r>
      <w:r w:rsidRPr="00F124AD">
        <w:t xml:space="preserve">production </w:t>
      </w:r>
      <w:r>
        <w:t xml:space="preserve">volume, despite having a </w:t>
      </w:r>
      <w:r w:rsidRPr="00F124AD">
        <w:t>similar</w:t>
      </w:r>
      <w:r>
        <w:t xml:space="preserve"> area in 2010/11 and 2015/16</w:t>
      </w:r>
      <w:r w:rsidRPr="00F124AD">
        <w:t>.</w:t>
      </w:r>
      <w:r>
        <w:t xml:space="preserve"> </w:t>
      </w:r>
    </w:p>
    <w:p w:rsidR="007D7D71" w:rsidRDefault="007D7D71" w:rsidP="007D7D71">
      <w:pPr>
        <w:pStyle w:val="woa-standard"/>
      </w:pPr>
      <w:r w:rsidRPr="00696766">
        <w:t>For</w:t>
      </w:r>
      <w:r w:rsidRPr="00FB420E">
        <w:t xml:space="preserve"> the livestock sector, the </w:t>
      </w:r>
      <w:r w:rsidRPr="00696766">
        <w:t xml:space="preserve">values </w:t>
      </w:r>
      <w:r w:rsidRPr="00696766">
        <w:rPr>
          <w:noProof/>
        </w:rPr>
        <w:t xml:space="preserve">represent </w:t>
      </w:r>
      <w:r w:rsidRPr="00696766">
        <w:t>the</w:t>
      </w:r>
      <w:r w:rsidRPr="00FB420E">
        <w:t xml:space="preserve"> production capacity (that is, stock on the farm in that year</w:t>
      </w:r>
      <w:r w:rsidRPr="00696766">
        <w:t>) rather than actual production.</w:t>
      </w:r>
      <w:r w:rsidRPr="00FB420E">
        <w:t xml:space="preserve"> The biggest increase </w:t>
      </w:r>
      <w:r w:rsidRPr="00FB420E">
        <w:rPr>
          <w:noProof/>
        </w:rPr>
        <w:t>was</w:t>
      </w:r>
      <w:r w:rsidRPr="009D7BD7">
        <w:rPr>
          <w:noProof/>
        </w:rPr>
        <w:t xml:space="preserve"> seen</w:t>
      </w:r>
      <w:r>
        <w:t xml:space="preserve"> in beef, which increased by 136 percent between 2010/11 and 2015/16. The only decrease was in sheep and lamb production, which dropped by 16 percent. Organic dairy grew moderately compared to beef but still showed a 23 percent increase in numbers of </w:t>
      </w:r>
      <w:proofErr w:type="spellStart"/>
      <w:r>
        <w:t>milkers</w:t>
      </w:r>
      <w:proofErr w:type="spellEnd"/>
      <w:r>
        <w:t xml:space="preserve"> and dry cows. </w:t>
      </w:r>
    </w:p>
    <w:p w:rsidR="007D7D71" w:rsidRDefault="007D7D71" w:rsidP="007D7D71">
      <w:pPr>
        <w:pStyle w:val="woa-h3"/>
      </w:pPr>
      <w:r>
        <w:lastRenderedPageBreak/>
        <w:t>Value of Agricultural Commodity Production (VACP)</w:t>
      </w:r>
      <w:r w:rsidRPr="00D22E27">
        <w:t xml:space="preserve"> </w:t>
      </w:r>
    </w:p>
    <w:p w:rsidR="007D7D71" w:rsidRDefault="007D7D71" w:rsidP="007D7D71">
      <w:pPr>
        <w:pStyle w:val="woa-standard"/>
      </w:pPr>
      <w:r>
        <w:t>In 2015/16, the Value of Agricultural Commodity Production (VACP)</w:t>
      </w:r>
      <w:r w:rsidRPr="006647D2">
        <w:rPr>
          <w:vertAlign w:val="superscript"/>
        </w:rPr>
        <w:t xml:space="preserve"> </w:t>
      </w:r>
      <w:r w:rsidRPr="006647D2">
        <w:rPr>
          <w:vertAlign w:val="superscript"/>
        </w:rPr>
        <w:footnoteReference w:id="5"/>
      </w:r>
      <w:r>
        <w:t xml:space="preserve"> or </w:t>
      </w:r>
      <w:r w:rsidRPr="00E77462">
        <w:t xml:space="preserve">farm-gate value of organic production </w:t>
      </w:r>
      <w:r w:rsidRPr="009D7BD7">
        <w:rPr>
          <w:noProof/>
        </w:rPr>
        <w:t>was estimated</w:t>
      </w:r>
      <w:r w:rsidRPr="00E77462">
        <w:t xml:space="preserve"> at well over 1.1 billion A</w:t>
      </w:r>
      <w:r>
        <w:t>ustralian dollars</w:t>
      </w:r>
      <w:r>
        <w:rPr>
          <w:rStyle w:val="FootnoteReference"/>
        </w:rPr>
        <w:footnoteReference w:id="6"/>
      </w:r>
      <w:r>
        <w:t xml:space="preserve"> (see </w:t>
      </w:r>
      <w:r>
        <w:fldChar w:fldCharType="begin"/>
      </w:r>
      <w:r>
        <w:instrText xml:space="preserve"> REF _Ref535428932 \h </w:instrText>
      </w:r>
      <w:r>
        <w:fldChar w:fldCharType="separate"/>
      </w:r>
      <w:r>
        <w:t xml:space="preserve">Table </w:t>
      </w:r>
      <w:r>
        <w:rPr>
          <w:noProof/>
        </w:rPr>
        <w:t>4</w:t>
      </w:r>
      <w:r>
        <w:fldChar w:fldCharType="end"/>
      </w:r>
      <w:r>
        <w:t xml:space="preserve">), well over two times the value estimated five years earlier (446 million Australian dollars), in 2010/11. </w:t>
      </w:r>
    </w:p>
    <w:p w:rsidR="007D7D71" w:rsidRPr="00A078FF" w:rsidRDefault="007D7D71" w:rsidP="007D7D71">
      <w:pPr>
        <w:pStyle w:val="woa-table-headline"/>
        <w:rPr>
          <w:b w:val="0"/>
        </w:rPr>
      </w:pPr>
      <w:bookmarkStart w:id="5" w:name="_Ref535428932"/>
      <w:bookmarkStart w:id="6" w:name="_Ref535428146"/>
      <w:r>
        <w:t xml:space="preserve">Table </w:t>
      </w:r>
      <w:r>
        <w:fldChar w:fldCharType="begin"/>
      </w:r>
      <w:r>
        <w:instrText xml:space="preserve"> SEQ Table \* ARABIC </w:instrText>
      </w:r>
      <w:r>
        <w:fldChar w:fldCharType="separate"/>
      </w:r>
      <w:r>
        <w:rPr>
          <w:noProof/>
        </w:rPr>
        <w:t>4</w:t>
      </w:r>
      <w:r>
        <w:fldChar w:fldCharType="end"/>
      </w:r>
      <w:bookmarkEnd w:id="5"/>
      <w:r>
        <w:t>:</w:t>
      </w:r>
      <w:r w:rsidRPr="00562A8C">
        <w:t xml:space="preserve"> </w:t>
      </w:r>
      <w:r>
        <w:t xml:space="preserve">Australia: </w:t>
      </w:r>
      <w:r w:rsidRPr="00A078FF">
        <w:t>Farm-gate value and growth rate in different years: main organic sectors</w:t>
      </w:r>
      <w:bookmarkEnd w:id="6"/>
    </w:p>
    <w:tbl>
      <w:tblPr>
        <w:tblStyle w:val="HellesRaster-Akzent11"/>
        <w:tblW w:w="5000" w:type="pct"/>
        <w:tblLayout w:type="fixed"/>
        <w:tblLook w:val="04A0" w:firstRow="1" w:lastRow="0" w:firstColumn="1" w:lastColumn="0" w:noHBand="0" w:noVBand="1"/>
      </w:tblPr>
      <w:tblGrid>
        <w:gridCol w:w="2568"/>
        <w:gridCol w:w="1669"/>
        <w:gridCol w:w="1669"/>
        <w:gridCol w:w="1669"/>
        <w:gridCol w:w="1667"/>
      </w:tblGrid>
      <w:tr w:rsidR="007D7D71" w:rsidRPr="00480426" w:rsidTr="007D7D7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174E" w:rsidRDefault="007D7D71" w:rsidP="007D7D71">
            <w:pPr>
              <w:pStyle w:val="woa-table-text"/>
              <w:rPr>
                <w:b w:val="0"/>
              </w:rPr>
            </w:pPr>
            <w:r w:rsidRPr="008D174E">
              <w:t>Commodity</w:t>
            </w:r>
          </w:p>
        </w:tc>
        <w:tc>
          <w:tcPr>
            <w:tcW w:w="903" w:type="pct"/>
            <w:noWrap/>
            <w:hideMark/>
          </w:tcPr>
          <w:p w:rsidR="007D7D71" w:rsidRPr="00480426"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 w:val="0"/>
              </w:rPr>
            </w:pPr>
            <w:r>
              <w:t>Farm-gate value 2010/1</w:t>
            </w:r>
            <w:r w:rsidRPr="008D2304">
              <w:t>1</w:t>
            </w:r>
          </w:p>
        </w:tc>
        <w:tc>
          <w:tcPr>
            <w:tcW w:w="903" w:type="pct"/>
            <w:noWrap/>
            <w:hideMark/>
          </w:tcPr>
          <w:p w:rsidR="007D7D71" w:rsidRPr="00480426"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 w:val="0"/>
              </w:rPr>
            </w:pPr>
            <w:r>
              <w:t>Farm-gate value 2015/1</w:t>
            </w:r>
            <w:r w:rsidRPr="008D2304">
              <w:t>6</w:t>
            </w:r>
          </w:p>
        </w:tc>
        <w:tc>
          <w:tcPr>
            <w:tcW w:w="903" w:type="pct"/>
            <w:noWrap/>
            <w:hideMark/>
          </w:tcPr>
          <w:p w:rsidR="007D7D71" w:rsidRPr="00480426"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 w:val="0"/>
              </w:rPr>
            </w:pPr>
            <w:r>
              <w:t>Change</w:t>
            </w:r>
          </w:p>
        </w:tc>
        <w:tc>
          <w:tcPr>
            <w:tcW w:w="902" w:type="pct"/>
            <w:noWrap/>
            <w:hideMark/>
          </w:tcPr>
          <w:p w:rsidR="007D7D71" w:rsidRPr="00480426" w:rsidRDefault="007D7D71" w:rsidP="007D7D71">
            <w:pPr>
              <w:pStyle w:val="woa-table-text"/>
              <w:cnfStyle w:val="100000000000" w:firstRow="1" w:lastRow="0" w:firstColumn="0" w:lastColumn="0" w:oddVBand="0" w:evenVBand="0" w:oddHBand="0" w:evenHBand="0" w:firstRowFirstColumn="0" w:firstRowLastColumn="0" w:lastRowFirstColumn="0" w:lastRowLastColumn="0"/>
              <w:rPr>
                <w:b w:val="0"/>
              </w:rPr>
            </w:pPr>
            <w:r w:rsidRPr="00480426">
              <w:t>Annual</w:t>
            </w:r>
            <w:r>
              <w:t xml:space="preserve"> compound</w:t>
            </w:r>
            <w:r w:rsidRPr="00480426">
              <w:t xml:space="preserve"> growth rate</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w:t>
            </w:r>
          </w:p>
        </w:tc>
        <w:tc>
          <w:tcPr>
            <w:tcW w:w="903" w:type="pct"/>
            <w:noWrap/>
            <w:hideMark/>
          </w:tcPr>
          <w:p w:rsidR="007D7D71" w:rsidRPr="008D2304"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Million Australian dollars</w:t>
            </w:r>
          </w:p>
        </w:tc>
        <w:tc>
          <w:tcPr>
            <w:tcW w:w="903" w:type="pct"/>
            <w:noWrap/>
            <w:hideMark/>
          </w:tcPr>
          <w:p w:rsidR="007D7D71" w:rsidRPr="008D2304"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Million Australian dollars</w:t>
            </w:r>
          </w:p>
        </w:tc>
        <w:tc>
          <w:tcPr>
            <w:tcW w:w="903" w:type="pct"/>
            <w:noWrap/>
            <w:hideMark/>
          </w:tcPr>
          <w:p w:rsidR="007D7D71" w:rsidRPr="008D2304"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8D2304">
              <w:t>%</w:t>
            </w:r>
          </w:p>
        </w:tc>
        <w:tc>
          <w:tcPr>
            <w:tcW w:w="902" w:type="pct"/>
            <w:noWrap/>
            <w:hideMark/>
          </w:tcPr>
          <w:p w:rsidR="007D7D71" w:rsidRPr="008D2304"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8D2304">
              <w:t>%</w:t>
            </w: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480426" w:rsidRDefault="007D7D71" w:rsidP="007D7D71">
            <w:pPr>
              <w:pStyle w:val="woa-table-text"/>
              <w:rPr>
                <w:b w:val="0"/>
              </w:rPr>
            </w:pPr>
            <w:r w:rsidRPr="00480426">
              <w:t>Total crops</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283</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372</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31</w:t>
            </w:r>
          </w:p>
        </w:tc>
        <w:tc>
          <w:tcPr>
            <w:tcW w:w="902"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6</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Cereals for grain</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38</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51</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34</w:t>
            </w:r>
          </w:p>
        </w:tc>
        <w:tc>
          <w:tcPr>
            <w:tcW w:w="902"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6</w:t>
            </w: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Vegetables</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63</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91</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 xml:space="preserve">     44 </w:t>
            </w:r>
          </w:p>
        </w:tc>
        <w:tc>
          <w:tcPr>
            <w:tcW w:w="902"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8</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Fruit</w:t>
            </w:r>
            <w:r>
              <w:t xml:space="preserve"> (incl. grapes for wine)</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130</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188</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 xml:space="preserve">     44 </w:t>
            </w:r>
          </w:p>
        </w:tc>
        <w:tc>
          <w:tcPr>
            <w:tcW w:w="902"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8</w:t>
            </w: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Other</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51</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42</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-17</w:t>
            </w:r>
          </w:p>
        </w:tc>
        <w:tc>
          <w:tcPr>
            <w:tcW w:w="902"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-4</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c>
          <w:tcPr>
            <w:tcW w:w="902"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480426" w:rsidRDefault="007D7D71" w:rsidP="007D7D71">
            <w:pPr>
              <w:pStyle w:val="woa-table-text"/>
              <w:rPr>
                <w:b w:val="0"/>
              </w:rPr>
            </w:pPr>
            <w:r w:rsidRPr="00480426">
              <w:t>Total livestock</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118</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658</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459</w:t>
            </w:r>
          </w:p>
        </w:tc>
        <w:tc>
          <w:tcPr>
            <w:tcW w:w="902"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41</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Cattle and calves</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81</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479</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488</w:t>
            </w:r>
          </w:p>
        </w:tc>
        <w:tc>
          <w:tcPr>
            <w:tcW w:w="902"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43</w:t>
            </w: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Sheep and lambs</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14</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15</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7</w:t>
            </w:r>
          </w:p>
        </w:tc>
        <w:tc>
          <w:tcPr>
            <w:tcW w:w="902"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1</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xml:space="preserve"> - Poultry</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14</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139</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864</w:t>
            </w:r>
          </w:p>
        </w:tc>
        <w:tc>
          <w:tcPr>
            <w:tcW w:w="902"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57</w:t>
            </w: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t xml:space="preserve"> </w:t>
            </w:r>
            <w:r w:rsidRPr="008D2304">
              <w:t>- Other</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8</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25</w:t>
            </w:r>
          </w:p>
        </w:tc>
        <w:tc>
          <w:tcPr>
            <w:tcW w:w="903"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221</w:t>
            </w:r>
          </w:p>
        </w:tc>
        <w:tc>
          <w:tcPr>
            <w:tcW w:w="902" w:type="pct"/>
            <w:noWrap/>
            <w:hideMark/>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26</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8D2304" w:rsidRDefault="007D7D71" w:rsidP="007D7D71">
            <w:pPr>
              <w:pStyle w:val="woa-table-text"/>
            </w:pPr>
            <w:r w:rsidRPr="008D2304">
              <w:t> </w:t>
            </w: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c>
          <w:tcPr>
            <w:tcW w:w="903"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c>
          <w:tcPr>
            <w:tcW w:w="902" w:type="pct"/>
            <w:noWrap/>
            <w:hideMark/>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hideMark/>
          </w:tcPr>
          <w:p w:rsidR="007D7D71" w:rsidRPr="00480426" w:rsidRDefault="007D7D71" w:rsidP="007D7D71">
            <w:pPr>
              <w:pStyle w:val="woa-table-text"/>
              <w:rPr>
                <w:b w:val="0"/>
              </w:rPr>
            </w:pPr>
            <w:r w:rsidRPr="00480426">
              <w:t>Total livestock products</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45</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119</w:t>
            </w:r>
          </w:p>
        </w:tc>
        <w:tc>
          <w:tcPr>
            <w:tcW w:w="903"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164</w:t>
            </w:r>
          </w:p>
        </w:tc>
        <w:tc>
          <w:tcPr>
            <w:tcW w:w="902" w:type="pct"/>
            <w:noWrap/>
            <w:hideMark/>
          </w:tcPr>
          <w:p w:rsidR="007D7D71" w:rsidRPr="004D0A58"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rsidRPr="004D0A58">
              <w:t>21</w:t>
            </w:r>
          </w:p>
        </w:tc>
      </w:tr>
      <w:tr w:rsidR="007D7D71" w:rsidRPr="008D2304"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tcPr>
          <w:p w:rsidR="007D7D71" w:rsidRPr="008D2304" w:rsidRDefault="007D7D71" w:rsidP="007D7D71">
            <w:pPr>
              <w:pStyle w:val="woa-table-text"/>
            </w:pPr>
            <w:r w:rsidRPr="008D2304">
              <w:t xml:space="preserve"> - Milk</w:t>
            </w:r>
          </w:p>
        </w:tc>
        <w:tc>
          <w:tcPr>
            <w:tcW w:w="903" w:type="pct"/>
            <w:noWrap/>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41</w:t>
            </w:r>
          </w:p>
        </w:tc>
        <w:tc>
          <w:tcPr>
            <w:tcW w:w="903" w:type="pct"/>
            <w:noWrap/>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56</w:t>
            </w:r>
          </w:p>
        </w:tc>
        <w:tc>
          <w:tcPr>
            <w:tcW w:w="903" w:type="pct"/>
            <w:noWrap/>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36</w:t>
            </w:r>
          </w:p>
        </w:tc>
        <w:tc>
          <w:tcPr>
            <w:tcW w:w="902" w:type="pct"/>
            <w:noWrap/>
          </w:tcPr>
          <w:p w:rsidR="007D7D71"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t>6</w:t>
            </w:r>
          </w:p>
        </w:tc>
      </w:tr>
      <w:tr w:rsidR="007D7D71" w:rsidRPr="008D2304" w:rsidTr="007D7D7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tcPr>
          <w:p w:rsidR="007D7D71" w:rsidRPr="008D2304" w:rsidRDefault="007D7D71" w:rsidP="007D7D71">
            <w:pPr>
              <w:pStyle w:val="woa-table-text"/>
            </w:pPr>
            <w:r w:rsidRPr="008D2304">
              <w:t xml:space="preserve"> - Eggs</w:t>
            </w:r>
          </w:p>
        </w:tc>
        <w:tc>
          <w:tcPr>
            <w:tcW w:w="903" w:type="pct"/>
            <w:noWrap/>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4</w:t>
            </w:r>
          </w:p>
        </w:tc>
        <w:tc>
          <w:tcPr>
            <w:tcW w:w="903" w:type="pct"/>
            <w:noWrap/>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63</w:t>
            </w:r>
          </w:p>
        </w:tc>
        <w:tc>
          <w:tcPr>
            <w:tcW w:w="903" w:type="pct"/>
            <w:noWrap/>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1498</w:t>
            </w:r>
          </w:p>
        </w:tc>
        <w:tc>
          <w:tcPr>
            <w:tcW w:w="902" w:type="pct"/>
            <w:noWrap/>
          </w:tcPr>
          <w:p w:rsidR="007D7D71" w:rsidRDefault="007D7D71" w:rsidP="007D7D71">
            <w:pPr>
              <w:pStyle w:val="woa-table-text"/>
              <w:jc w:val="right"/>
              <w:cnfStyle w:val="000000010000" w:firstRow="0" w:lastRow="0" w:firstColumn="0" w:lastColumn="0" w:oddVBand="0" w:evenVBand="0" w:oddHBand="0" w:evenHBand="1" w:firstRowFirstColumn="0" w:firstRowLastColumn="0" w:lastRowFirstColumn="0" w:lastRowLastColumn="0"/>
            </w:pPr>
            <w:r>
              <w:t>74</w:t>
            </w:r>
          </w:p>
        </w:tc>
      </w:tr>
      <w:tr w:rsidR="007D7D71" w:rsidRPr="008D174E" w:rsidTr="007D7D7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89" w:type="pct"/>
            <w:noWrap/>
          </w:tcPr>
          <w:p w:rsidR="007D7D71" w:rsidRPr="008D174E" w:rsidRDefault="007D7D71" w:rsidP="007D7D71">
            <w:pPr>
              <w:pStyle w:val="woa-table-text"/>
              <w:rPr>
                <w:b w:val="0"/>
              </w:rPr>
            </w:pPr>
            <w:r>
              <w:t>Total crops and livestock</w:t>
            </w:r>
          </w:p>
        </w:tc>
        <w:tc>
          <w:tcPr>
            <w:tcW w:w="903" w:type="pct"/>
            <w:noWrap/>
          </w:tcPr>
          <w:p w:rsidR="007D7D71" w:rsidRPr="004D0A58"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4D0A58">
              <w:t>446</w:t>
            </w:r>
          </w:p>
        </w:tc>
        <w:tc>
          <w:tcPr>
            <w:tcW w:w="903" w:type="pct"/>
            <w:noWrap/>
          </w:tcPr>
          <w:p w:rsidR="007D7D71" w:rsidRPr="004D0A58"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4D0A58">
              <w:t>1</w:t>
            </w:r>
            <w:r>
              <w:t>,</w:t>
            </w:r>
            <w:r w:rsidRPr="004D0A58">
              <w:t>149</w:t>
            </w:r>
          </w:p>
        </w:tc>
        <w:tc>
          <w:tcPr>
            <w:tcW w:w="903" w:type="pct"/>
            <w:noWrap/>
          </w:tcPr>
          <w:p w:rsidR="007D7D71" w:rsidRPr="004D0A58"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4D0A58">
              <w:t>158</w:t>
            </w:r>
          </w:p>
        </w:tc>
        <w:tc>
          <w:tcPr>
            <w:tcW w:w="902" w:type="pct"/>
            <w:noWrap/>
          </w:tcPr>
          <w:p w:rsidR="007D7D71" w:rsidRPr="004D0A58" w:rsidRDefault="007D7D71" w:rsidP="007D7D71">
            <w:pPr>
              <w:pStyle w:val="woa-table-text"/>
              <w:jc w:val="right"/>
              <w:cnfStyle w:val="000000100000" w:firstRow="0" w:lastRow="0" w:firstColumn="0" w:lastColumn="0" w:oddVBand="0" w:evenVBand="0" w:oddHBand="1" w:evenHBand="0" w:firstRowFirstColumn="0" w:firstRowLastColumn="0" w:lastRowFirstColumn="0" w:lastRowLastColumn="0"/>
            </w:pPr>
            <w:r w:rsidRPr="004D0A58">
              <w:t>21</w:t>
            </w:r>
          </w:p>
        </w:tc>
      </w:tr>
    </w:tbl>
    <w:p w:rsidR="007D7D71" w:rsidRPr="0087745D" w:rsidRDefault="007D7D71" w:rsidP="007D7D71">
      <w:pPr>
        <w:pStyle w:val="woa-source"/>
      </w:pPr>
      <w:r w:rsidRPr="006557BD">
        <w:rPr>
          <w:noProof/>
        </w:rPr>
        <w:t>Based on: ABS (Customised report, 2016) and ABS (Customised report, 2018).</w:t>
      </w:r>
    </w:p>
    <w:p w:rsidR="007D7D71" w:rsidRDefault="007D7D71" w:rsidP="007D7D71">
      <w:pPr>
        <w:pStyle w:val="woa-standard"/>
      </w:pPr>
      <w:r>
        <w:t xml:space="preserve">In the crop sector, growth between the two years </w:t>
      </w:r>
      <w:r w:rsidRPr="006557BD">
        <w:rPr>
          <w:noProof/>
        </w:rPr>
        <w:t>was recorded</w:t>
      </w:r>
      <w:r>
        <w:t xml:space="preserve"> in particular in fruit and vegetables. Over half of the increase </w:t>
      </w:r>
      <w:r w:rsidRPr="006557BD">
        <w:rPr>
          <w:noProof/>
        </w:rPr>
        <w:t>was generated</w:t>
      </w:r>
      <w:r>
        <w:t xml:space="preserve"> by the beef sector (cattle and calves). </w:t>
      </w:r>
      <w:r w:rsidRPr="00E214F9">
        <w:t xml:space="preserve">Also, poultry and eggs (in the livestock </w:t>
      </w:r>
      <w:r>
        <w:t xml:space="preserve">sector and the livestock </w:t>
      </w:r>
      <w:r w:rsidRPr="00E214F9">
        <w:t>products sector</w:t>
      </w:r>
      <w:r>
        <w:t>, respectively</w:t>
      </w:r>
      <w:r w:rsidRPr="00E214F9">
        <w:t>) showed a remarkable growth</w:t>
      </w:r>
      <w:r>
        <w:t xml:space="preserve"> rate</w:t>
      </w:r>
      <w:r w:rsidRPr="00E214F9">
        <w:t xml:space="preserve"> in those </w:t>
      </w:r>
      <w:r>
        <w:t>five</w:t>
      </w:r>
      <w:r w:rsidRPr="00E214F9">
        <w:t xml:space="preserve"> years, albeit less in absolute figures</w:t>
      </w:r>
      <w:r>
        <w:t>,</w:t>
      </w:r>
      <w:r w:rsidRPr="00E214F9">
        <w:t xml:space="preserve"> due to starting from a considerably lower base. However, industry sources</w:t>
      </w:r>
      <w:r>
        <w:t xml:space="preserve"> estimate that the </w:t>
      </w:r>
      <w:r w:rsidRPr="00466D5D">
        <w:t xml:space="preserve">returns </w:t>
      </w:r>
      <w:r>
        <w:t xml:space="preserve">are </w:t>
      </w:r>
      <w:r w:rsidRPr="00466D5D">
        <w:t xml:space="preserve">considerably lower for both </w:t>
      </w:r>
      <w:r>
        <w:t xml:space="preserve">of </w:t>
      </w:r>
      <w:r w:rsidRPr="00466D5D">
        <w:t>these sectors</w:t>
      </w:r>
      <w:r>
        <w:t xml:space="preserve"> than ABS does (see footnote 1)</w:t>
      </w:r>
      <w:r w:rsidRPr="00466D5D">
        <w:t>.</w:t>
      </w:r>
      <w:r>
        <w:t xml:space="preserve"> </w:t>
      </w:r>
    </w:p>
    <w:p w:rsidR="007D7D71" w:rsidRDefault="007D7D71" w:rsidP="007D7D71">
      <w:pPr>
        <w:pStyle w:val="woa-standard"/>
      </w:pPr>
      <w:r>
        <w:t xml:space="preserve">Farm-gate value is dependent on production, which is also dependent on area under crop or grazing land, which </w:t>
      </w:r>
      <w:r w:rsidRPr="006A3670">
        <w:t xml:space="preserve">decreased by 3 </w:t>
      </w:r>
      <w:r>
        <w:t xml:space="preserve">percent, from 0.20 </w:t>
      </w:r>
      <w:r w:rsidRPr="006A3670">
        <w:t>to 0.17</w:t>
      </w:r>
      <w:r>
        <w:t xml:space="preserve"> million hectares </w:t>
      </w:r>
      <w:r w:rsidRPr="006A3670">
        <w:t>(see</w:t>
      </w:r>
      <w:r>
        <w:t xml:space="preserve"> </w:t>
      </w:r>
      <w:r>
        <w:fldChar w:fldCharType="begin"/>
      </w:r>
      <w:r>
        <w:instrText xml:space="preserve"> REF _Ref535430035 \h </w:instrText>
      </w:r>
      <w:r>
        <w:fldChar w:fldCharType="separate"/>
      </w:r>
      <w:r>
        <w:t xml:space="preserve">Table </w:t>
      </w:r>
      <w:r>
        <w:rPr>
          <w:noProof/>
        </w:rPr>
        <w:t>2</w:t>
      </w:r>
      <w:r>
        <w:fldChar w:fldCharType="end"/>
      </w:r>
      <w:r w:rsidRPr="006A3670">
        <w:t xml:space="preserve">). </w:t>
      </w:r>
    </w:p>
    <w:p w:rsidR="007D7D71" w:rsidRDefault="007D7D71" w:rsidP="007D7D71">
      <w:pPr>
        <w:pStyle w:val="woa-standard"/>
      </w:pPr>
      <w:r>
        <w:t xml:space="preserve">Changes in VACP </w:t>
      </w:r>
      <w:r w:rsidRPr="006557BD">
        <w:rPr>
          <w:noProof/>
        </w:rPr>
        <w:t>are also influenced</w:t>
      </w:r>
      <w:r>
        <w:t xml:space="preserve"> by </w:t>
      </w:r>
      <w:r w:rsidRPr="006E2293">
        <w:rPr>
          <w:b/>
        </w:rPr>
        <w:t>product prices</w:t>
      </w:r>
      <w:r>
        <w:rPr>
          <w:b/>
        </w:rPr>
        <w:t xml:space="preserve">, </w:t>
      </w:r>
      <w:r w:rsidRPr="00841AC4">
        <w:t>both conventional and organic</w:t>
      </w:r>
      <w:r>
        <w:t xml:space="preserve">. As an increase in either of them between the two years of comparison can give rise to perceived growth in a sector (even when there is no growth in production), it is also important to look into these two factors to determine real growth. </w:t>
      </w:r>
    </w:p>
    <w:p w:rsidR="007D7D71" w:rsidRDefault="007D7D71" w:rsidP="007D7D71">
      <w:pPr>
        <w:pStyle w:val="woa-standard"/>
      </w:pPr>
      <w:r>
        <w:t xml:space="preserve">In crops, the price index showed little change in conventional prices between the two years (5 percent), although there is a rather large difference between grain (13 percent increase) and fruit (11 percent decrease). For fruit, the decrease in conventional prices </w:t>
      </w:r>
      <w:r w:rsidRPr="006557BD">
        <w:rPr>
          <w:noProof/>
        </w:rPr>
        <w:t>is more or less neutralised</w:t>
      </w:r>
      <w:r>
        <w:t xml:space="preserve"> by the increase in organic premiums. </w:t>
      </w:r>
      <w:r w:rsidRPr="006557BD">
        <w:rPr>
          <w:noProof/>
        </w:rPr>
        <w:t>This</w:t>
      </w:r>
      <w:r>
        <w:t xml:space="preserve"> contrasts with the contributions of vegetables, which remained </w:t>
      </w:r>
      <w:r>
        <w:lastRenderedPageBreak/>
        <w:t xml:space="preserve">similar, with only small conventional price increases, and small premium increases. </w:t>
      </w:r>
      <w:r w:rsidRPr="006557BD">
        <w:rPr>
          <w:noProof/>
        </w:rPr>
        <w:t>This</w:t>
      </w:r>
      <w:r>
        <w:t xml:space="preserve">, of course, is only true for the group of vegetables as a whole, and possibly not so for individual kinds of vegetables. </w:t>
      </w:r>
    </w:p>
    <w:p w:rsidR="007D7D71" w:rsidRDefault="007D7D71" w:rsidP="007D7D71">
      <w:pPr>
        <w:pStyle w:val="woa-standard"/>
      </w:pPr>
      <w:r>
        <w:t xml:space="preserve">By far the greatest effect of these two forces is on beef, for which the conventional price index indicated a price increase of 46 percent, while the premium percentage stayed similar (which means that it also increased substantially in absolute terms). </w:t>
      </w:r>
      <w:r w:rsidRPr="006557BD">
        <w:rPr>
          <w:noProof/>
        </w:rPr>
        <w:t>This</w:t>
      </w:r>
      <w:r>
        <w:t xml:space="preserve"> means that a large part of the increase in farm-gate value for beef was due to increases both in conventional price and in organic premiums. Changes in both the conventional prices and organic premiums were small for other commodities in 2015/16, so they </w:t>
      </w:r>
      <w:r w:rsidRPr="006557BD">
        <w:rPr>
          <w:noProof/>
        </w:rPr>
        <w:t>didn’t</w:t>
      </w:r>
      <w:r>
        <w:t xml:space="preserve"> change the general picture for productivity or otherwise. </w:t>
      </w:r>
    </w:p>
    <w:p w:rsidR="007D7D71" w:rsidRDefault="007D7D71" w:rsidP="007D7D71">
      <w:pPr>
        <w:pStyle w:val="woa-standard"/>
      </w:pPr>
      <w:r>
        <w:t>In other words, it is clear that there was growth in organic agriculture in Australia in the first half of the 2010s</w:t>
      </w:r>
      <w:r w:rsidRPr="002B30E8">
        <w:t xml:space="preserve">, though there is a large difference between the commodities. There is more </w:t>
      </w:r>
      <w:r w:rsidRPr="002B30E8">
        <w:rPr>
          <w:b/>
        </w:rPr>
        <w:t>total area</w:t>
      </w:r>
      <w:r w:rsidRPr="002B30E8">
        <w:t xml:space="preserve"> under certified organic management, but less under </w:t>
      </w:r>
      <w:r w:rsidRPr="002B30E8">
        <w:rPr>
          <w:b/>
        </w:rPr>
        <w:t>organic cropping</w:t>
      </w:r>
      <w:r w:rsidRPr="002B30E8">
        <w:t xml:space="preserve"> (or more-intensive industries than on pastoral properties). The </w:t>
      </w:r>
      <w:r w:rsidRPr="002B30E8">
        <w:rPr>
          <w:b/>
        </w:rPr>
        <w:t xml:space="preserve">total </w:t>
      </w:r>
      <w:proofErr w:type="spellStart"/>
      <w:r w:rsidRPr="00696766">
        <w:rPr>
          <w:b/>
        </w:rPr>
        <w:t>farmgate</w:t>
      </w:r>
      <w:proofErr w:type="spellEnd"/>
      <w:r w:rsidRPr="002B30E8">
        <w:rPr>
          <w:b/>
        </w:rPr>
        <w:t xml:space="preserve"> value</w:t>
      </w:r>
      <w:r w:rsidRPr="002B30E8">
        <w:t xml:space="preserve"> of organic production has also increased (even excluding the beef industry), mainly due to vegetables and fruit, and poultry and egg production.</w:t>
      </w:r>
      <w:r>
        <w:t xml:space="preserve"> </w:t>
      </w:r>
    </w:p>
    <w:p w:rsidR="007D7D71" w:rsidRDefault="007D7D71" w:rsidP="007D7D71">
      <w:pPr>
        <w:pStyle w:val="woa-standard"/>
      </w:pPr>
      <w:r>
        <w:t xml:space="preserve">In summary, the </w:t>
      </w:r>
      <w:proofErr w:type="spellStart"/>
      <w:r>
        <w:t>farmgate</w:t>
      </w:r>
      <w:proofErr w:type="spellEnd"/>
      <w:r>
        <w:t xml:space="preserve"> value in Australia grew from 446 to 1,149 million Australian dollars between 2010/11 and 2015/16, or 158 percent. </w:t>
      </w:r>
      <w:r w:rsidRPr="006557BD">
        <w:rPr>
          <w:noProof/>
        </w:rPr>
        <w:t>This</w:t>
      </w:r>
      <w:r>
        <w:t xml:space="preserve"> is an annual compound growth rate of 21 percent.</w:t>
      </w:r>
    </w:p>
    <w:p w:rsidR="007D7D71" w:rsidRDefault="007D7D71" w:rsidP="007D7D71">
      <w:pPr>
        <w:pStyle w:val="woa-standard"/>
      </w:pPr>
      <w:r>
        <w:t xml:space="preserve">It makes sense, however, to split the extensive beef sector from the more intensive cropping-livestock sector. In the former, certification is often obtained for marketing reasons, as the management is close to being organic </w:t>
      </w:r>
      <w:r w:rsidRPr="006557BD">
        <w:rPr>
          <w:noProof/>
        </w:rPr>
        <w:t>anyway</w:t>
      </w:r>
      <w:r>
        <w:t xml:space="preserve">, and in the latter, a thorough change in management </w:t>
      </w:r>
      <w:r w:rsidRPr="006557BD">
        <w:rPr>
          <w:noProof/>
        </w:rPr>
        <w:t>is often needed</w:t>
      </w:r>
      <w:r>
        <w:t xml:space="preserve"> before certification can </w:t>
      </w:r>
      <w:r w:rsidRPr="006557BD">
        <w:rPr>
          <w:noProof/>
        </w:rPr>
        <w:t>be obtained</w:t>
      </w:r>
      <w:r>
        <w:t xml:space="preserve">. </w:t>
      </w:r>
    </w:p>
    <w:p w:rsidR="007D7D71" w:rsidRDefault="007D7D71" w:rsidP="007D7D71">
      <w:pPr>
        <w:pStyle w:val="woa-standard"/>
      </w:pPr>
      <w:r>
        <w:t xml:space="preserve">The extensive beef sector experienced a six-fold increase between 2010/11 and 2015/6, which is an annual compound growth rate of 43 percent. For the more intensive sector, the farm-gate value showed an annual compound growth rate of 13 percent. However, if the ABS data for grapes for wine, poultry and egg production (the </w:t>
      </w:r>
      <w:r w:rsidRPr="006647D2">
        <w:t>three</w:t>
      </w:r>
      <w:r>
        <w:t xml:space="preserve"> sectors that create problems for accurate measurements of organic production) </w:t>
      </w:r>
      <w:r w:rsidRPr="006557BD">
        <w:rPr>
          <w:noProof/>
        </w:rPr>
        <w:t>is replaced</w:t>
      </w:r>
      <w:r>
        <w:t xml:space="preserve"> with rough estimates from the industry, then the figures are reduced to a less than 10 percent annual compound growth rate. </w:t>
      </w:r>
    </w:p>
    <w:p w:rsidR="007D7D71" w:rsidRDefault="007D7D71" w:rsidP="007D7D71">
      <w:pPr>
        <w:pStyle w:val="woa-h3"/>
      </w:pPr>
      <w:r>
        <w:t>References</w:t>
      </w:r>
    </w:p>
    <w:p w:rsidR="007D7D71" w:rsidRPr="002B30E8" w:rsidRDefault="007D7D71" w:rsidP="007D7D71">
      <w:pPr>
        <w:pStyle w:val="woa-references"/>
      </w:pPr>
      <w:r w:rsidRPr="002B30E8">
        <w:t xml:space="preserve">ABARES (Australian Bureau of Agricultural and Resource Economics and Sciences) (2017): Agricultural commodity statistics. ABARES, Canberra. Available at </w:t>
      </w:r>
      <w:hyperlink r:id="rId9" w:anchor="2017" w:tooltip="http://www.agriculture.gov.au/abares/research-topics/agricultural-commodities/agricultural-commodities-trade-data#2017 CTRL + Click to follow link" w:history="1">
        <w:r w:rsidRPr="002B30E8">
          <w:t>http://www.agriculture.gov.au/abares/research-topics/agricultural-commodities/agricultural-commodities-trade-data#2017</w:t>
        </w:r>
      </w:hyperlink>
    </w:p>
    <w:p w:rsidR="007D7D71" w:rsidRPr="002B30E8" w:rsidRDefault="007D7D71" w:rsidP="007D7D71">
      <w:pPr>
        <w:pStyle w:val="woa-references"/>
      </w:pPr>
      <w:r w:rsidRPr="002B30E8">
        <w:t xml:space="preserve">ABS (Australian Bureau of Statistics) (2011) </w:t>
      </w:r>
      <w:r>
        <w:rPr>
          <w:lang w:val="en"/>
        </w:rPr>
        <w:t xml:space="preserve">Value of Agricultural Commodities Produced, Australia, 2010-11. </w:t>
      </w:r>
      <w:proofErr w:type="gramStart"/>
      <w:r>
        <w:rPr>
          <w:lang w:val="en"/>
        </w:rPr>
        <w:t xml:space="preserve">ABS, </w:t>
      </w:r>
      <w:r w:rsidRPr="002B30E8">
        <w:t>Canberra.</w:t>
      </w:r>
      <w:proofErr w:type="gramEnd"/>
      <w:r w:rsidRPr="002B30E8">
        <w:t xml:space="preserve"> Available at </w:t>
      </w:r>
      <w:hyperlink r:id="rId10" w:history="1">
        <w:r w:rsidRPr="002B30E8">
          <w:t>http://www.abs.gov.au/Ausstats/abs@.nsf/0/3EA331A8BCD9ADD3CA257B7B00125D00?OpenDocument</w:t>
        </w:r>
      </w:hyperlink>
    </w:p>
    <w:p w:rsidR="007D7D71" w:rsidRPr="002B30E8" w:rsidRDefault="007D7D71" w:rsidP="007D7D71">
      <w:pPr>
        <w:pStyle w:val="woa-references"/>
        <w:rPr>
          <w:rFonts w:asciiTheme="minorHAnsi" w:hAnsiTheme="minorHAnsi" w:cstheme="minorHAnsi"/>
        </w:rPr>
      </w:pPr>
      <w:r w:rsidRPr="002B30E8">
        <w:t xml:space="preserve">ABS (2016) </w:t>
      </w:r>
      <w:r>
        <w:rPr>
          <w:lang w:val="en"/>
        </w:rPr>
        <w:t xml:space="preserve">Agricultural Commodities, Australia, 2015-16. </w:t>
      </w:r>
      <w:proofErr w:type="gramStart"/>
      <w:r>
        <w:rPr>
          <w:lang w:val="en"/>
        </w:rPr>
        <w:t xml:space="preserve">ABS, </w:t>
      </w:r>
      <w:r w:rsidRPr="002B30E8">
        <w:t>Canberra.</w:t>
      </w:r>
      <w:proofErr w:type="gramEnd"/>
      <w:r w:rsidRPr="002B30E8">
        <w:t xml:space="preserve"> Available at </w:t>
      </w:r>
      <w:hyperlink r:id="rId11" w:history="1">
        <w:r w:rsidRPr="002B30E8">
          <w:t>http://www.abs.gov.au/Ausstats/abs@.nsf/0/C2BEAD6A7DB33E86CA2582910013A993?OpenDocument</w:t>
        </w:r>
      </w:hyperlink>
    </w:p>
    <w:p w:rsidR="007D7D71" w:rsidRPr="002B30E8" w:rsidRDefault="007D7D71" w:rsidP="007D7D71">
      <w:pPr>
        <w:pStyle w:val="woa-references"/>
      </w:pPr>
      <w:r w:rsidRPr="002B30E8">
        <w:t>ABS (2016) Customised report.</w:t>
      </w:r>
    </w:p>
    <w:p w:rsidR="007D7D71" w:rsidRPr="002B30E8" w:rsidRDefault="007D7D71" w:rsidP="007D7D71">
      <w:pPr>
        <w:pStyle w:val="woa-references"/>
      </w:pPr>
      <w:r w:rsidRPr="002B30E8">
        <w:t>ABS (2018) Customised report.</w:t>
      </w:r>
    </w:p>
    <w:p w:rsidR="007D7D71" w:rsidRDefault="007D7D71" w:rsidP="007D7D71">
      <w:pPr>
        <w:pStyle w:val="woa-references"/>
      </w:pPr>
      <w:r w:rsidRPr="002B30E8">
        <w:t>AOL - Australian Organic Ltd. (2018): Australian Organic Market Report 2018. Australian Organic Ltd., Nundah</w:t>
      </w:r>
      <w:r w:rsidRPr="002B30E8">
        <w:rPr>
          <w:rFonts w:ascii="MuseoSans-100" w:hAnsi="MuseoSans-100" w:cs="MuseoSans-100"/>
          <w:color w:val="231F20"/>
          <w:sz w:val="20"/>
          <w:szCs w:val="20"/>
          <w:lang w:eastAsia="de-CH"/>
        </w:rPr>
        <w:t xml:space="preserve">. </w:t>
      </w:r>
      <w:r w:rsidRPr="002B30E8">
        <w:t xml:space="preserve">Available on: </w:t>
      </w:r>
      <w:hyperlink r:id="rId12" w:history="1">
        <w:r w:rsidRPr="00696766">
          <w:t>https://austorganic.com/wp-content/uploads/2018/04/AustOrganicMarketReport2018_spreads_digital.pdf</w:t>
        </w:r>
      </w:hyperlink>
      <w:r w:rsidRPr="002B30E8">
        <w:t>.</w:t>
      </w:r>
    </w:p>
    <w:p w:rsidR="007D7D71" w:rsidRPr="002B30E8" w:rsidRDefault="007D7D71" w:rsidP="007D7D71">
      <w:pPr>
        <w:pStyle w:val="woa-references"/>
      </w:pPr>
      <w:r>
        <w:t xml:space="preserve">Willer, H. and </w:t>
      </w:r>
      <w:r w:rsidR="00EA678C">
        <w:t>J.Lernoud (Eds.) (2019):</w:t>
      </w:r>
      <w:r>
        <w:t xml:space="preserve"> The World of Organic Agriculture</w:t>
      </w:r>
      <w:r w:rsidR="00EA678C">
        <w:t>. Statistics and Emerging Trends. Res</w:t>
      </w:r>
      <w:r w:rsidR="000F5733">
        <w:t>e</w:t>
      </w:r>
      <w:r w:rsidR="00EA678C">
        <w:t>arch Institute of Organic Agriculture (FIBL), Frick, and IFOAM – Organics International, Bonn.</w:t>
      </w:r>
    </w:p>
    <w:p w:rsidR="007D7D71" w:rsidRPr="002B30E8" w:rsidRDefault="007D7D71" w:rsidP="007D7D71">
      <w:pPr>
        <w:pStyle w:val="woa-references"/>
      </w:pPr>
      <w:r w:rsidRPr="002B30E8">
        <w:lastRenderedPageBreak/>
        <w:t>Wynen, E. (2016) ‘Improving the measurement of the value of organic production in Australia</w:t>
      </w:r>
      <w:r w:rsidRPr="006557BD">
        <w:rPr>
          <w:noProof/>
        </w:rPr>
        <w:t>’,</w:t>
      </w:r>
      <w:r w:rsidRPr="002B30E8">
        <w:t xml:space="preserve"> OTARE Policy Paper No 1601 (available </w:t>
      </w:r>
      <w:r w:rsidRPr="006557BD">
        <w:rPr>
          <w:noProof/>
        </w:rPr>
        <w:t>on:</w:t>
      </w:r>
      <w:r w:rsidRPr="002B30E8">
        <w:t xml:space="preserve"> </w:t>
      </w:r>
      <w:hyperlink r:id="rId13" w:history="1">
        <w:r w:rsidRPr="00696766">
          <w:t>http://www.elspl.com.au/OrgAg/4-OA-Pubs/4-OA-Publications/Pub-A-FP/OA-FP-A26-OTARE-Policy%20Paper_No_1601-July2016.pdf</w:t>
        </w:r>
      </w:hyperlink>
      <w:r w:rsidRPr="002B30E8">
        <w:t>).</w:t>
      </w:r>
    </w:p>
    <w:p w:rsidR="007D7D71" w:rsidRPr="00696766" w:rsidRDefault="007D7D71" w:rsidP="007D7D71">
      <w:pPr>
        <w:pStyle w:val="woa-references"/>
      </w:pPr>
      <w:r w:rsidRPr="002B30E8">
        <w:t xml:space="preserve">Wynen, E. (2019): Organic agricultural production in Australia: 2010-11 and 2015-16. </w:t>
      </w:r>
      <w:r w:rsidRPr="006557BD">
        <w:rPr>
          <w:noProof/>
        </w:rPr>
        <w:t>OTARE</w:t>
      </w:r>
      <w:r w:rsidRPr="002B30E8">
        <w:t xml:space="preserve"> Research Paper No 1901. January 2019. Organic Trust Australia - Research and Education (</w:t>
      </w:r>
      <w:r w:rsidRPr="006557BD">
        <w:rPr>
          <w:noProof/>
        </w:rPr>
        <w:t>OTARE</w:t>
      </w:r>
      <w:r w:rsidRPr="002B30E8">
        <w:t xml:space="preserve">), </w:t>
      </w:r>
      <w:r w:rsidRPr="00696766">
        <w:t xml:space="preserve">accessible </w:t>
      </w:r>
      <w:r w:rsidRPr="006557BD">
        <w:t>at</w:t>
      </w:r>
      <w:r w:rsidRPr="00696766">
        <w:t xml:space="preserve"> </w:t>
      </w:r>
      <w:r w:rsidRPr="007D7D71">
        <w:t>http://www.organictrustaustralia.org.au/sites/default/files/RP-ABS-2010-11_2015-16.pdf</w:t>
      </w:r>
      <w:r w:rsidR="00F440A4">
        <w:t>.</w:t>
      </w:r>
    </w:p>
    <w:p w:rsidR="007D7D71" w:rsidRDefault="007D7D71" w:rsidP="007D7D71">
      <w:pPr>
        <w:pStyle w:val="woa-references"/>
        <w:rPr>
          <w:rFonts w:cs="Arial"/>
          <w:color w:val="000000"/>
          <w:sz w:val="16"/>
          <w:lang w:val="en-GB" w:eastAsia="de-DE"/>
        </w:rPr>
      </w:pPr>
    </w:p>
    <w:p w:rsidR="009A7B5C" w:rsidRDefault="009A7B5C"/>
    <w:sectPr w:rsidR="009A7B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46" w:rsidRDefault="00CC6546" w:rsidP="007D7D71">
      <w:pPr>
        <w:spacing w:after="0" w:line="240" w:lineRule="auto"/>
      </w:pPr>
      <w:r>
        <w:separator/>
      </w:r>
    </w:p>
  </w:endnote>
  <w:endnote w:type="continuationSeparator" w:id="0">
    <w:p w:rsidR="00CC6546" w:rsidRDefault="00CC6546" w:rsidP="007D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ista Sans OT Reg">
    <w:altName w:val="Malgun Gothic"/>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useoSans-100">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46" w:rsidRDefault="00CC6546" w:rsidP="007D7D71">
      <w:pPr>
        <w:spacing w:after="0" w:line="240" w:lineRule="auto"/>
      </w:pPr>
      <w:r>
        <w:separator/>
      </w:r>
    </w:p>
  </w:footnote>
  <w:footnote w:type="continuationSeparator" w:id="0">
    <w:p w:rsidR="00CC6546" w:rsidRDefault="00CC6546" w:rsidP="007D7D71">
      <w:pPr>
        <w:spacing w:after="0" w:line="240" w:lineRule="auto"/>
      </w:pPr>
      <w:r>
        <w:continuationSeparator/>
      </w:r>
    </w:p>
  </w:footnote>
  <w:footnote w:id="1">
    <w:p w:rsidR="007D7D71" w:rsidRPr="00A078FF" w:rsidRDefault="007D7D71" w:rsidP="007D7D71">
      <w:pPr>
        <w:pStyle w:val="woa-footnote"/>
      </w:pPr>
      <w:r w:rsidRPr="00A078FF">
        <w:rPr>
          <w:vertAlign w:val="superscript"/>
        </w:rPr>
        <w:footnoteRef/>
      </w:r>
      <w:r w:rsidRPr="00A078FF">
        <w:t xml:space="preserve"> This article is an excerpt from</w:t>
      </w:r>
      <w:r>
        <w:t xml:space="preserve"> Research</w:t>
      </w:r>
      <w:r w:rsidRPr="00A078FF">
        <w:t xml:space="preserve"> Paper 2019-1 published by Organic Trust Australia – Research and Education, accessible on http://www.organictrustaustralia.org.au. </w:t>
      </w:r>
      <w:r>
        <w:t>It was first published in Willer and Lernoud (2019).</w:t>
      </w:r>
    </w:p>
  </w:footnote>
  <w:footnote w:id="2">
    <w:p w:rsidR="007D7D71" w:rsidRPr="00A078FF" w:rsidRDefault="007D7D71" w:rsidP="007D7D71">
      <w:pPr>
        <w:pStyle w:val="woa-footnote"/>
      </w:pPr>
      <w:r w:rsidRPr="00A078FF">
        <w:rPr>
          <w:vertAlign w:val="superscript"/>
        </w:rPr>
        <w:footnoteRef/>
      </w:r>
      <w:r w:rsidRPr="004B18FA">
        <w:t xml:space="preserve"> </w:t>
      </w:r>
      <w:proofErr w:type="spellStart"/>
      <w:r>
        <w:t>Dr.</w:t>
      </w:r>
      <w:proofErr w:type="spellEnd"/>
      <w:r>
        <w:t xml:space="preserve"> Els Wynen, </w:t>
      </w:r>
      <w:r w:rsidRPr="004B18FA">
        <w:t xml:space="preserve">Eco </w:t>
      </w:r>
      <w:proofErr w:type="spellStart"/>
      <w:r w:rsidRPr="004B18FA">
        <w:t>Landuse</w:t>
      </w:r>
      <w:proofErr w:type="spellEnd"/>
      <w:r w:rsidRPr="004B18FA">
        <w:t xml:space="preserve"> Systems, Canberra</w:t>
      </w:r>
    </w:p>
  </w:footnote>
  <w:footnote w:id="3">
    <w:p w:rsidR="007D7D71" w:rsidRPr="006647D2" w:rsidRDefault="007D7D71" w:rsidP="007D7D71">
      <w:pPr>
        <w:pStyle w:val="woa-table-text"/>
      </w:pPr>
      <w:r>
        <w:rPr>
          <w:rStyle w:val="FootnoteReference"/>
        </w:rPr>
        <w:footnoteRef/>
      </w:r>
      <w:r>
        <w:t xml:space="preserve"> </w:t>
      </w:r>
      <w:r w:rsidRPr="009F3F55">
        <w:rPr>
          <w:rStyle w:val="woa-footnoteChar"/>
          <w:rFonts w:eastAsia="MS Mincho"/>
        </w:rPr>
        <w:t xml:space="preserve">In </w:t>
      </w:r>
      <w:hyperlink r:id="rId1" w:tooltip="Australia" w:history="1">
        <w:r w:rsidRPr="009F3F55">
          <w:rPr>
            <w:rStyle w:val="woa-footnoteChar"/>
            <w:rFonts w:eastAsia="MS Mincho"/>
          </w:rPr>
          <w:t>Australia</w:t>
        </w:r>
      </w:hyperlink>
      <w:r w:rsidRPr="009F3F55">
        <w:rPr>
          <w:rStyle w:val="woa-footnoteChar"/>
          <w:rFonts w:eastAsia="MS Mincho"/>
        </w:rPr>
        <w:t xml:space="preserve">, </w:t>
      </w:r>
      <w:proofErr w:type="spellStart"/>
      <w:r w:rsidRPr="009F3F55">
        <w:rPr>
          <w:rStyle w:val="woa-footnoteChar"/>
          <w:rFonts w:eastAsia="MS Mincho"/>
        </w:rPr>
        <w:t>broadacre</w:t>
      </w:r>
      <w:proofErr w:type="spellEnd"/>
      <w:r w:rsidRPr="009F3F55">
        <w:rPr>
          <w:rStyle w:val="woa-footnoteChar"/>
          <w:rFonts w:eastAsia="MS Mincho"/>
        </w:rPr>
        <w:t xml:space="preserve"> is </w:t>
      </w:r>
      <w:r>
        <w:rPr>
          <w:rStyle w:val="woa-footnoteChar"/>
          <w:rFonts w:eastAsia="MS Mincho"/>
        </w:rPr>
        <w:t xml:space="preserve">the term for </w:t>
      </w:r>
      <w:r w:rsidRPr="009F3F55">
        <w:rPr>
          <w:rStyle w:val="woa-footnoteChar"/>
          <w:rFonts w:eastAsia="MS Mincho"/>
        </w:rPr>
        <w:t xml:space="preserve">land suitable for large-scale </w:t>
      </w:r>
      <w:hyperlink r:id="rId2" w:tooltip="Crop" w:history="1">
        <w:r w:rsidRPr="009F3F55">
          <w:rPr>
            <w:rStyle w:val="woa-footnoteChar"/>
            <w:rFonts w:eastAsia="MS Mincho"/>
          </w:rPr>
          <w:t>crop</w:t>
        </w:r>
      </w:hyperlink>
      <w:r w:rsidRPr="009F3F55">
        <w:rPr>
          <w:rStyle w:val="woa-footnoteChar"/>
          <w:rFonts w:eastAsia="MS Mincho"/>
        </w:rPr>
        <w:t xml:space="preserve"> production.</w:t>
      </w:r>
    </w:p>
  </w:footnote>
  <w:footnote w:id="4">
    <w:p w:rsidR="007D7D71" w:rsidRPr="006557BD" w:rsidRDefault="007D7D71" w:rsidP="007D7D71">
      <w:pPr>
        <w:pStyle w:val="woa-footnote"/>
      </w:pPr>
      <w:r>
        <w:rPr>
          <w:rStyle w:val="FootnoteReference"/>
        </w:rPr>
        <w:footnoteRef/>
      </w:r>
      <w:r>
        <w:t xml:space="preserve"> </w:t>
      </w:r>
      <w:r w:rsidRPr="006557BD">
        <w:t>This category refers to land that can be used for crops, but these areas are not necessarily used eve</w:t>
      </w:r>
      <w:r>
        <w:t>r</w:t>
      </w:r>
      <w:r w:rsidRPr="006557BD">
        <w:t xml:space="preserve">y year. </w:t>
      </w:r>
    </w:p>
  </w:footnote>
  <w:footnote w:id="5">
    <w:p w:rsidR="007D7D71" w:rsidRPr="00B5444B" w:rsidRDefault="007D7D71" w:rsidP="007D7D71">
      <w:pPr>
        <w:pStyle w:val="woa-footnote"/>
      </w:pPr>
      <w:r w:rsidRPr="00E77462">
        <w:rPr>
          <w:vertAlign w:val="superscript"/>
        </w:rPr>
        <w:footnoteRef/>
      </w:r>
      <w:r>
        <w:t xml:space="preserve"> ABS calculates the VACP by multiplying total production – obtained by the census – by market prices. This can create problems in those industries where the whole farm is not under organic management. Grapes for wine, poultry and egg industries are especially implicated here. </w:t>
      </w:r>
    </w:p>
  </w:footnote>
  <w:footnote w:id="6">
    <w:p w:rsidR="007D7D71" w:rsidRPr="00E77462" w:rsidRDefault="007D7D71" w:rsidP="007D7D71">
      <w:pPr>
        <w:pStyle w:val="woa-footnote"/>
      </w:pPr>
      <w:r>
        <w:rPr>
          <w:rStyle w:val="FootnoteReference"/>
        </w:rPr>
        <w:footnoteRef/>
      </w:r>
      <w:r>
        <w:t xml:space="preserve"> In 2017 (average exchange rate), 1 Australian dollar corresponded to 0.68 euros according to the European Central Bank.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8E0"/>
    <w:multiLevelType w:val="hybridMultilevel"/>
    <w:tmpl w:val="E30E484A"/>
    <w:lvl w:ilvl="0" w:tplc="58A87C7A">
      <w:start w:val="1"/>
      <w:numFmt w:val="bullet"/>
      <w:pStyle w:val="woa-footnote-bullet"/>
      <w:lvlText w:val="›"/>
      <w:lvlJc w:val="left"/>
      <w:pPr>
        <w:tabs>
          <w:tab w:val="num" w:pos="720"/>
        </w:tabs>
        <w:ind w:left="720" w:hanging="360"/>
      </w:pPr>
      <w:rPr>
        <w:rFonts w:ascii="Vista Sans OT Reg" w:hAnsi="Vista Sans OT Reg"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73E87"/>
    <w:multiLevelType w:val="hybridMultilevel"/>
    <w:tmpl w:val="55A03F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71"/>
    <w:rsid w:val="000F5733"/>
    <w:rsid w:val="007D7D71"/>
    <w:rsid w:val="009A7B5C"/>
    <w:rsid w:val="00CC6546"/>
    <w:rsid w:val="00EA678C"/>
    <w:rsid w:val="00F44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71"/>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D7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standard">
    <w:name w:val="woa-standard"/>
    <w:basedOn w:val="Normal"/>
    <w:link w:val="woa-standardChar"/>
    <w:rsid w:val="007D7D71"/>
    <w:pPr>
      <w:tabs>
        <w:tab w:val="left" w:pos="3060"/>
        <w:tab w:val="left" w:pos="6120"/>
      </w:tabs>
      <w:spacing w:before="120" w:after="120"/>
      <w:jc w:val="both"/>
    </w:pPr>
    <w:rPr>
      <w:rFonts w:ascii="Palatino Linotype" w:eastAsia="MS Mincho" w:hAnsi="Palatino Linotype"/>
      <w:snapToGrid w:val="0"/>
      <w:sz w:val="20"/>
      <w:szCs w:val="18"/>
      <w:lang w:val="en-GB" w:eastAsia="x-none"/>
    </w:rPr>
  </w:style>
  <w:style w:type="paragraph" w:customStyle="1" w:styleId="woa-h1">
    <w:name w:val="woa-h1"/>
    <w:basedOn w:val="woa-standard"/>
    <w:next w:val="woa-standard"/>
    <w:link w:val="woa-h1Char"/>
    <w:rsid w:val="007D7D71"/>
    <w:pPr>
      <w:spacing w:after="400"/>
      <w:contextualSpacing/>
      <w:jc w:val="left"/>
      <w:outlineLvl w:val="0"/>
    </w:pPr>
    <w:rPr>
      <w:rFonts w:ascii="Gill Sans MT" w:hAnsi="Gill Sans MT" w:cs="Arial"/>
      <w:b/>
      <w:color w:val="000000"/>
      <w:sz w:val="28"/>
      <w:szCs w:val="24"/>
      <w:lang w:eastAsia="de-CH"/>
    </w:rPr>
  </w:style>
  <w:style w:type="paragraph" w:customStyle="1" w:styleId="woa-h3">
    <w:name w:val="woa-h3"/>
    <w:basedOn w:val="Heading3"/>
    <w:link w:val="woa-h3Char"/>
    <w:qFormat/>
    <w:rsid w:val="007D7D71"/>
    <w:pPr>
      <w:spacing w:before="240" w:after="200"/>
    </w:pPr>
    <w:rPr>
      <w:rFonts w:ascii="Gill Sans MT" w:eastAsia="Times New Roman" w:hAnsi="Gill Sans MT" w:cs="Times New Roman"/>
      <w:bCs w:val="0"/>
      <w:color w:val="auto"/>
      <w:lang w:val="en-US" w:eastAsia="de-CH"/>
    </w:rPr>
  </w:style>
  <w:style w:type="paragraph" w:customStyle="1" w:styleId="woa-table-headline">
    <w:name w:val="woa-table-headline"/>
    <w:basedOn w:val="woa-standard"/>
    <w:next w:val="woa-standard"/>
    <w:link w:val="woa-table-headlineChar"/>
    <w:rsid w:val="007D7D71"/>
    <w:pPr>
      <w:keepNext/>
      <w:spacing w:before="240"/>
    </w:pPr>
    <w:rPr>
      <w:rFonts w:ascii="Gill Sans MT" w:hAnsi="Gill Sans MT" w:cs="Arial"/>
      <w:b/>
      <w:color w:val="000000"/>
      <w:sz w:val="18"/>
      <w:szCs w:val="22"/>
      <w:lang w:val="en-US" w:eastAsia="de-CH"/>
    </w:rPr>
  </w:style>
  <w:style w:type="paragraph" w:customStyle="1" w:styleId="woa-source">
    <w:name w:val="woa-source"/>
    <w:basedOn w:val="Normal"/>
    <w:link w:val="woa-sourceChar"/>
    <w:rsid w:val="007D7D71"/>
    <w:pPr>
      <w:tabs>
        <w:tab w:val="left" w:pos="3060"/>
        <w:tab w:val="left" w:pos="6120"/>
      </w:tabs>
      <w:spacing w:before="120" w:after="360"/>
    </w:pPr>
    <w:rPr>
      <w:rFonts w:ascii="Gill Sans MT" w:eastAsia="MS Mincho" w:hAnsi="Gill Sans MT"/>
      <w:b/>
      <w:i/>
      <w:snapToGrid w:val="0"/>
      <w:sz w:val="16"/>
      <w:lang w:val="en-GB" w:eastAsia="x-none"/>
    </w:rPr>
  </w:style>
  <w:style w:type="paragraph" w:customStyle="1" w:styleId="woa-footnote-bullet">
    <w:name w:val="woa-footnote-bullet"/>
    <w:basedOn w:val="woa-footnote"/>
    <w:link w:val="woa-footnote-bulletChar"/>
    <w:rsid w:val="007D7D71"/>
    <w:pPr>
      <w:numPr>
        <w:numId w:val="1"/>
      </w:numPr>
      <w:tabs>
        <w:tab w:val="clear" w:pos="720"/>
        <w:tab w:val="left" w:pos="357"/>
      </w:tabs>
      <w:ind w:left="357" w:hanging="357"/>
    </w:pPr>
    <w:rPr>
      <w:rFonts w:cs="Times New Roman"/>
      <w:color w:val="auto"/>
      <w:lang w:val="x-none" w:eastAsia="de-CH"/>
    </w:rPr>
  </w:style>
  <w:style w:type="paragraph" w:customStyle="1" w:styleId="woa-references">
    <w:name w:val="woa-references"/>
    <w:basedOn w:val="Normal"/>
    <w:link w:val="woa-referencesChar"/>
    <w:autoRedefine/>
    <w:rsid w:val="007D7D71"/>
    <w:pPr>
      <w:spacing w:before="10" w:after="10"/>
      <w:ind w:left="567" w:hanging="567"/>
    </w:pPr>
    <w:rPr>
      <w:rFonts w:ascii="Palatino Linotype" w:eastAsia="MS Mincho" w:hAnsi="Palatino Linotype"/>
      <w:bCs/>
      <w:snapToGrid w:val="0"/>
      <w:sz w:val="18"/>
      <w:szCs w:val="16"/>
      <w:lang w:val="de-CH"/>
    </w:rPr>
  </w:style>
  <w:style w:type="paragraph" w:customStyle="1" w:styleId="woa-table-text">
    <w:name w:val="woa-table-text"/>
    <w:basedOn w:val="Normal"/>
    <w:link w:val="woa-table-textChar"/>
    <w:rsid w:val="007D7D71"/>
    <w:pPr>
      <w:keepLines/>
      <w:tabs>
        <w:tab w:val="left" w:pos="3060"/>
        <w:tab w:val="left" w:pos="6120"/>
      </w:tabs>
      <w:spacing w:before="20" w:after="20"/>
    </w:pPr>
    <w:rPr>
      <w:rFonts w:ascii="Gill Sans MT" w:eastAsia="MS Mincho" w:hAnsi="Gill Sans MT"/>
      <w:snapToGrid w:val="0"/>
      <w:color w:val="000000"/>
      <w:sz w:val="15"/>
      <w:szCs w:val="12"/>
      <w:lang w:val="en-US" w:eastAsia="x-none"/>
    </w:rPr>
  </w:style>
  <w:style w:type="character" w:customStyle="1" w:styleId="woa-sourceChar">
    <w:name w:val="woa-source Char"/>
    <w:link w:val="woa-source"/>
    <w:rsid w:val="007D7D71"/>
    <w:rPr>
      <w:rFonts w:ascii="Gill Sans MT" w:eastAsia="MS Mincho" w:hAnsi="Gill Sans MT" w:cs="Times New Roman"/>
      <w:b/>
      <w:i/>
      <w:snapToGrid w:val="0"/>
      <w:sz w:val="16"/>
      <w:lang w:val="en-GB" w:eastAsia="x-none"/>
    </w:rPr>
  </w:style>
  <w:style w:type="character" w:customStyle="1" w:styleId="woa-footnote-bulletChar">
    <w:name w:val="woa-footnote-bullet Char"/>
    <w:link w:val="woa-footnote-bullet"/>
    <w:rsid w:val="007D7D71"/>
    <w:rPr>
      <w:rFonts w:ascii="Palatino Linotype" w:eastAsia="Times New Roman" w:hAnsi="Palatino Linotype" w:cs="Times New Roman"/>
      <w:bCs/>
      <w:sz w:val="16"/>
      <w:lang w:val="x-none" w:eastAsia="de-CH"/>
    </w:rPr>
  </w:style>
  <w:style w:type="character" w:customStyle="1" w:styleId="woa-standardChar">
    <w:name w:val="woa-standard Char"/>
    <w:link w:val="woa-standard"/>
    <w:rsid w:val="007D7D71"/>
    <w:rPr>
      <w:rFonts w:ascii="Palatino Linotype" w:eastAsia="MS Mincho" w:hAnsi="Palatino Linotype" w:cs="Times New Roman"/>
      <w:snapToGrid w:val="0"/>
      <w:sz w:val="20"/>
      <w:szCs w:val="18"/>
      <w:lang w:val="en-GB" w:eastAsia="x-none"/>
    </w:rPr>
  </w:style>
  <w:style w:type="paragraph" w:customStyle="1" w:styleId="woa-footnote">
    <w:name w:val="woa-footnote"/>
    <w:basedOn w:val="Normal"/>
    <w:link w:val="woa-footnoteChar"/>
    <w:rsid w:val="007D7D71"/>
    <w:pPr>
      <w:spacing w:after="0" w:line="240" w:lineRule="auto"/>
    </w:pPr>
    <w:rPr>
      <w:rFonts w:ascii="Palatino Linotype" w:hAnsi="Palatino Linotype" w:cs="Arial"/>
      <w:bCs/>
      <w:color w:val="000000"/>
      <w:sz w:val="16"/>
      <w:lang w:val="en-GB" w:eastAsia="de-DE"/>
    </w:rPr>
  </w:style>
  <w:style w:type="character" w:customStyle="1" w:styleId="woa-table-textChar">
    <w:name w:val="woa-table-text Char"/>
    <w:link w:val="woa-table-text"/>
    <w:rsid w:val="007D7D71"/>
    <w:rPr>
      <w:rFonts w:ascii="Gill Sans MT" w:eastAsia="MS Mincho" w:hAnsi="Gill Sans MT" w:cs="Times New Roman"/>
      <w:snapToGrid w:val="0"/>
      <w:color w:val="000000"/>
      <w:sz w:val="15"/>
      <w:szCs w:val="12"/>
      <w:lang w:val="en-US" w:eastAsia="x-none"/>
    </w:rPr>
  </w:style>
  <w:style w:type="character" w:customStyle="1" w:styleId="woa-footnoteChar">
    <w:name w:val="woa-footnote Char"/>
    <w:link w:val="woa-footnote"/>
    <w:rsid w:val="007D7D71"/>
    <w:rPr>
      <w:rFonts w:ascii="Palatino Linotype" w:eastAsia="Times New Roman" w:hAnsi="Palatino Linotype" w:cs="Arial"/>
      <w:bCs/>
      <w:color w:val="000000"/>
      <w:sz w:val="16"/>
      <w:lang w:val="en-GB" w:eastAsia="de-DE"/>
    </w:rPr>
  </w:style>
  <w:style w:type="character" w:customStyle="1" w:styleId="woa-table-headlineChar">
    <w:name w:val="woa-table-headline Char"/>
    <w:link w:val="woa-table-headline"/>
    <w:rsid w:val="007D7D71"/>
    <w:rPr>
      <w:rFonts w:ascii="Gill Sans MT" w:eastAsia="MS Mincho" w:hAnsi="Gill Sans MT" w:cs="Arial"/>
      <w:b/>
      <w:snapToGrid w:val="0"/>
      <w:color w:val="000000"/>
      <w:sz w:val="18"/>
      <w:lang w:val="en-US" w:eastAsia="de-CH"/>
    </w:rPr>
  </w:style>
  <w:style w:type="character" w:customStyle="1" w:styleId="woa-h1Char">
    <w:name w:val="woa-h1 Char"/>
    <w:link w:val="woa-h1"/>
    <w:rsid w:val="007D7D71"/>
    <w:rPr>
      <w:rFonts w:ascii="Gill Sans MT" w:eastAsia="MS Mincho" w:hAnsi="Gill Sans MT" w:cs="Arial"/>
      <w:b/>
      <w:snapToGrid w:val="0"/>
      <w:color w:val="000000"/>
      <w:sz w:val="28"/>
      <w:szCs w:val="24"/>
      <w:lang w:val="en-GB" w:eastAsia="de-CH"/>
    </w:rPr>
  </w:style>
  <w:style w:type="character" w:customStyle="1" w:styleId="woa-referencesChar">
    <w:name w:val="woa-references Char"/>
    <w:link w:val="woa-references"/>
    <w:rsid w:val="007D7D71"/>
    <w:rPr>
      <w:rFonts w:ascii="Palatino Linotype" w:eastAsia="MS Mincho" w:hAnsi="Palatino Linotype" w:cs="Times New Roman"/>
      <w:bCs/>
      <w:snapToGrid w:val="0"/>
      <w:sz w:val="18"/>
      <w:szCs w:val="16"/>
      <w:lang w:val="de-CH"/>
    </w:rPr>
  </w:style>
  <w:style w:type="character" w:customStyle="1" w:styleId="woa-h3Char">
    <w:name w:val="woa-h3 Char"/>
    <w:link w:val="woa-h3"/>
    <w:rsid w:val="007D7D71"/>
    <w:rPr>
      <w:rFonts w:ascii="Gill Sans MT" w:eastAsia="Times New Roman" w:hAnsi="Gill Sans MT" w:cs="Times New Roman"/>
      <w:b/>
      <w:lang w:val="en-US" w:eastAsia="de-CH"/>
    </w:rPr>
  </w:style>
  <w:style w:type="paragraph" w:customStyle="1" w:styleId="woa-h2">
    <w:name w:val="woa-h2"/>
    <w:basedOn w:val="Normal"/>
    <w:qFormat/>
    <w:rsid w:val="007D7D71"/>
    <w:pPr>
      <w:keepNext/>
      <w:spacing w:before="120" w:after="400"/>
      <w:contextualSpacing/>
      <w:outlineLvl w:val="1"/>
    </w:pPr>
    <w:rPr>
      <w:rFonts w:ascii="Gill Sans MT" w:eastAsia="MS Mincho" w:hAnsi="Gill Sans MT"/>
      <w:b/>
      <w:bCs/>
      <w:snapToGrid w:val="0"/>
      <w:szCs w:val="24"/>
      <w:lang w:val="en-GB" w:eastAsia="de-CH"/>
    </w:rPr>
  </w:style>
  <w:style w:type="table" w:customStyle="1" w:styleId="HellesRaster-Akzent11">
    <w:name w:val="Helles Raster - Akzent 11"/>
    <w:basedOn w:val="TableNormal"/>
    <w:uiPriority w:val="62"/>
    <w:rsid w:val="007D7D71"/>
    <w:pPr>
      <w:spacing w:after="0" w:line="240" w:lineRule="auto"/>
    </w:pPr>
    <w:rPr>
      <w:rFonts w:ascii="Calibri" w:eastAsia="Calibri" w:hAnsi="Calibri" w:cs="Times New Roman"/>
      <w:lang w:val="de-CH"/>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chattierung-Akzent11">
    <w:name w:val="Helle Schattierung - Akzent 11"/>
    <w:basedOn w:val="TableNormal"/>
    <w:rsid w:val="007D7D71"/>
    <w:pPr>
      <w:spacing w:after="0" w:line="240" w:lineRule="auto"/>
    </w:pPr>
    <w:rPr>
      <w:rFonts w:ascii="Times" w:eastAsia="Times New Roman" w:hAnsi="Times" w:cs="Times New Roman"/>
      <w:color w:val="365F91"/>
      <w:sz w:val="20"/>
      <w:szCs w:val="20"/>
      <w:lang w:val="de-CH" w:eastAsia="de-CH"/>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otnoteReference">
    <w:name w:val="footnote reference"/>
    <w:basedOn w:val="DefaultParagraphFont"/>
    <w:uiPriority w:val="99"/>
    <w:semiHidden/>
    <w:unhideWhenUsed/>
    <w:rsid w:val="007D7D71"/>
    <w:rPr>
      <w:vertAlign w:val="superscript"/>
    </w:rPr>
  </w:style>
  <w:style w:type="character" w:customStyle="1" w:styleId="Heading3Char">
    <w:name w:val="Heading 3 Char"/>
    <w:basedOn w:val="DefaultParagraphFont"/>
    <w:link w:val="Heading3"/>
    <w:uiPriority w:val="9"/>
    <w:semiHidden/>
    <w:rsid w:val="007D7D7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D71"/>
    <w:rPr>
      <w:rFonts w:ascii="Calibri" w:eastAsia="Times New Roman" w:hAnsi="Calibri" w:cs="Times New Roman"/>
    </w:rPr>
  </w:style>
  <w:style w:type="paragraph" w:styleId="Heading3">
    <w:name w:val="heading 3"/>
    <w:basedOn w:val="Normal"/>
    <w:next w:val="Normal"/>
    <w:link w:val="Heading3Char"/>
    <w:uiPriority w:val="9"/>
    <w:semiHidden/>
    <w:unhideWhenUsed/>
    <w:qFormat/>
    <w:rsid w:val="007D7D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a-standard">
    <w:name w:val="woa-standard"/>
    <w:basedOn w:val="Normal"/>
    <w:link w:val="woa-standardChar"/>
    <w:rsid w:val="007D7D71"/>
    <w:pPr>
      <w:tabs>
        <w:tab w:val="left" w:pos="3060"/>
        <w:tab w:val="left" w:pos="6120"/>
      </w:tabs>
      <w:spacing w:before="120" w:after="120"/>
      <w:jc w:val="both"/>
    </w:pPr>
    <w:rPr>
      <w:rFonts w:ascii="Palatino Linotype" w:eastAsia="MS Mincho" w:hAnsi="Palatino Linotype"/>
      <w:snapToGrid w:val="0"/>
      <w:sz w:val="20"/>
      <w:szCs w:val="18"/>
      <w:lang w:val="en-GB" w:eastAsia="x-none"/>
    </w:rPr>
  </w:style>
  <w:style w:type="paragraph" w:customStyle="1" w:styleId="woa-h1">
    <w:name w:val="woa-h1"/>
    <w:basedOn w:val="woa-standard"/>
    <w:next w:val="woa-standard"/>
    <w:link w:val="woa-h1Char"/>
    <w:rsid w:val="007D7D71"/>
    <w:pPr>
      <w:spacing w:after="400"/>
      <w:contextualSpacing/>
      <w:jc w:val="left"/>
      <w:outlineLvl w:val="0"/>
    </w:pPr>
    <w:rPr>
      <w:rFonts w:ascii="Gill Sans MT" w:hAnsi="Gill Sans MT" w:cs="Arial"/>
      <w:b/>
      <w:color w:val="000000"/>
      <w:sz w:val="28"/>
      <w:szCs w:val="24"/>
      <w:lang w:eastAsia="de-CH"/>
    </w:rPr>
  </w:style>
  <w:style w:type="paragraph" w:customStyle="1" w:styleId="woa-h3">
    <w:name w:val="woa-h3"/>
    <w:basedOn w:val="Heading3"/>
    <w:link w:val="woa-h3Char"/>
    <w:qFormat/>
    <w:rsid w:val="007D7D71"/>
    <w:pPr>
      <w:spacing w:before="240" w:after="200"/>
    </w:pPr>
    <w:rPr>
      <w:rFonts w:ascii="Gill Sans MT" w:eastAsia="Times New Roman" w:hAnsi="Gill Sans MT" w:cs="Times New Roman"/>
      <w:bCs w:val="0"/>
      <w:color w:val="auto"/>
      <w:lang w:val="en-US" w:eastAsia="de-CH"/>
    </w:rPr>
  </w:style>
  <w:style w:type="paragraph" w:customStyle="1" w:styleId="woa-table-headline">
    <w:name w:val="woa-table-headline"/>
    <w:basedOn w:val="woa-standard"/>
    <w:next w:val="woa-standard"/>
    <w:link w:val="woa-table-headlineChar"/>
    <w:rsid w:val="007D7D71"/>
    <w:pPr>
      <w:keepNext/>
      <w:spacing w:before="240"/>
    </w:pPr>
    <w:rPr>
      <w:rFonts w:ascii="Gill Sans MT" w:hAnsi="Gill Sans MT" w:cs="Arial"/>
      <w:b/>
      <w:color w:val="000000"/>
      <w:sz w:val="18"/>
      <w:szCs w:val="22"/>
      <w:lang w:val="en-US" w:eastAsia="de-CH"/>
    </w:rPr>
  </w:style>
  <w:style w:type="paragraph" w:customStyle="1" w:styleId="woa-source">
    <w:name w:val="woa-source"/>
    <w:basedOn w:val="Normal"/>
    <w:link w:val="woa-sourceChar"/>
    <w:rsid w:val="007D7D71"/>
    <w:pPr>
      <w:tabs>
        <w:tab w:val="left" w:pos="3060"/>
        <w:tab w:val="left" w:pos="6120"/>
      </w:tabs>
      <w:spacing w:before="120" w:after="360"/>
    </w:pPr>
    <w:rPr>
      <w:rFonts w:ascii="Gill Sans MT" w:eastAsia="MS Mincho" w:hAnsi="Gill Sans MT"/>
      <w:b/>
      <w:i/>
      <w:snapToGrid w:val="0"/>
      <w:sz w:val="16"/>
      <w:lang w:val="en-GB" w:eastAsia="x-none"/>
    </w:rPr>
  </w:style>
  <w:style w:type="paragraph" w:customStyle="1" w:styleId="woa-footnote-bullet">
    <w:name w:val="woa-footnote-bullet"/>
    <w:basedOn w:val="woa-footnote"/>
    <w:link w:val="woa-footnote-bulletChar"/>
    <w:rsid w:val="007D7D71"/>
    <w:pPr>
      <w:numPr>
        <w:numId w:val="1"/>
      </w:numPr>
      <w:tabs>
        <w:tab w:val="clear" w:pos="720"/>
        <w:tab w:val="left" w:pos="357"/>
      </w:tabs>
      <w:ind w:left="357" w:hanging="357"/>
    </w:pPr>
    <w:rPr>
      <w:rFonts w:cs="Times New Roman"/>
      <w:color w:val="auto"/>
      <w:lang w:val="x-none" w:eastAsia="de-CH"/>
    </w:rPr>
  </w:style>
  <w:style w:type="paragraph" w:customStyle="1" w:styleId="woa-references">
    <w:name w:val="woa-references"/>
    <w:basedOn w:val="Normal"/>
    <w:link w:val="woa-referencesChar"/>
    <w:autoRedefine/>
    <w:rsid w:val="007D7D71"/>
    <w:pPr>
      <w:spacing w:before="10" w:after="10"/>
      <w:ind w:left="567" w:hanging="567"/>
    </w:pPr>
    <w:rPr>
      <w:rFonts w:ascii="Palatino Linotype" w:eastAsia="MS Mincho" w:hAnsi="Palatino Linotype"/>
      <w:bCs/>
      <w:snapToGrid w:val="0"/>
      <w:sz w:val="18"/>
      <w:szCs w:val="16"/>
      <w:lang w:val="de-CH"/>
    </w:rPr>
  </w:style>
  <w:style w:type="paragraph" w:customStyle="1" w:styleId="woa-table-text">
    <w:name w:val="woa-table-text"/>
    <w:basedOn w:val="Normal"/>
    <w:link w:val="woa-table-textChar"/>
    <w:rsid w:val="007D7D71"/>
    <w:pPr>
      <w:keepLines/>
      <w:tabs>
        <w:tab w:val="left" w:pos="3060"/>
        <w:tab w:val="left" w:pos="6120"/>
      </w:tabs>
      <w:spacing w:before="20" w:after="20"/>
    </w:pPr>
    <w:rPr>
      <w:rFonts w:ascii="Gill Sans MT" w:eastAsia="MS Mincho" w:hAnsi="Gill Sans MT"/>
      <w:snapToGrid w:val="0"/>
      <w:color w:val="000000"/>
      <w:sz w:val="15"/>
      <w:szCs w:val="12"/>
      <w:lang w:val="en-US" w:eastAsia="x-none"/>
    </w:rPr>
  </w:style>
  <w:style w:type="character" w:customStyle="1" w:styleId="woa-sourceChar">
    <w:name w:val="woa-source Char"/>
    <w:link w:val="woa-source"/>
    <w:rsid w:val="007D7D71"/>
    <w:rPr>
      <w:rFonts w:ascii="Gill Sans MT" w:eastAsia="MS Mincho" w:hAnsi="Gill Sans MT" w:cs="Times New Roman"/>
      <w:b/>
      <w:i/>
      <w:snapToGrid w:val="0"/>
      <w:sz w:val="16"/>
      <w:lang w:val="en-GB" w:eastAsia="x-none"/>
    </w:rPr>
  </w:style>
  <w:style w:type="character" w:customStyle="1" w:styleId="woa-footnote-bulletChar">
    <w:name w:val="woa-footnote-bullet Char"/>
    <w:link w:val="woa-footnote-bullet"/>
    <w:rsid w:val="007D7D71"/>
    <w:rPr>
      <w:rFonts w:ascii="Palatino Linotype" w:eastAsia="Times New Roman" w:hAnsi="Palatino Linotype" w:cs="Times New Roman"/>
      <w:bCs/>
      <w:sz w:val="16"/>
      <w:lang w:val="x-none" w:eastAsia="de-CH"/>
    </w:rPr>
  </w:style>
  <w:style w:type="character" w:customStyle="1" w:styleId="woa-standardChar">
    <w:name w:val="woa-standard Char"/>
    <w:link w:val="woa-standard"/>
    <w:rsid w:val="007D7D71"/>
    <w:rPr>
      <w:rFonts w:ascii="Palatino Linotype" w:eastAsia="MS Mincho" w:hAnsi="Palatino Linotype" w:cs="Times New Roman"/>
      <w:snapToGrid w:val="0"/>
      <w:sz w:val="20"/>
      <w:szCs w:val="18"/>
      <w:lang w:val="en-GB" w:eastAsia="x-none"/>
    </w:rPr>
  </w:style>
  <w:style w:type="paragraph" w:customStyle="1" w:styleId="woa-footnote">
    <w:name w:val="woa-footnote"/>
    <w:basedOn w:val="Normal"/>
    <w:link w:val="woa-footnoteChar"/>
    <w:rsid w:val="007D7D71"/>
    <w:pPr>
      <w:spacing w:after="0" w:line="240" w:lineRule="auto"/>
    </w:pPr>
    <w:rPr>
      <w:rFonts w:ascii="Palatino Linotype" w:hAnsi="Palatino Linotype" w:cs="Arial"/>
      <w:bCs/>
      <w:color w:val="000000"/>
      <w:sz w:val="16"/>
      <w:lang w:val="en-GB" w:eastAsia="de-DE"/>
    </w:rPr>
  </w:style>
  <w:style w:type="character" w:customStyle="1" w:styleId="woa-table-textChar">
    <w:name w:val="woa-table-text Char"/>
    <w:link w:val="woa-table-text"/>
    <w:rsid w:val="007D7D71"/>
    <w:rPr>
      <w:rFonts w:ascii="Gill Sans MT" w:eastAsia="MS Mincho" w:hAnsi="Gill Sans MT" w:cs="Times New Roman"/>
      <w:snapToGrid w:val="0"/>
      <w:color w:val="000000"/>
      <w:sz w:val="15"/>
      <w:szCs w:val="12"/>
      <w:lang w:val="en-US" w:eastAsia="x-none"/>
    </w:rPr>
  </w:style>
  <w:style w:type="character" w:customStyle="1" w:styleId="woa-footnoteChar">
    <w:name w:val="woa-footnote Char"/>
    <w:link w:val="woa-footnote"/>
    <w:rsid w:val="007D7D71"/>
    <w:rPr>
      <w:rFonts w:ascii="Palatino Linotype" w:eastAsia="Times New Roman" w:hAnsi="Palatino Linotype" w:cs="Arial"/>
      <w:bCs/>
      <w:color w:val="000000"/>
      <w:sz w:val="16"/>
      <w:lang w:val="en-GB" w:eastAsia="de-DE"/>
    </w:rPr>
  </w:style>
  <w:style w:type="character" w:customStyle="1" w:styleId="woa-table-headlineChar">
    <w:name w:val="woa-table-headline Char"/>
    <w:link w:val="woa-table-headline"/>
    <w:rsid w:val="007D7D71"/>
    <w:rPr>
      <w:rFonts w:ascii="Gill Sans MT" w:eastAsia="MS Mincho" w:hAnsi="Gill Sans MT" w:cs="Arial"/>
      <w:b/>
      <w:snapToGrid w:val="0"/>
      <w:color w:val="000000"/>
      <w:sz w:val="18"/>
      <w:lang w:val="en-US" w:eastAsia="de-CH"/>
    </w:rPr>
  </w:style>
  <w:style w:type="character" w:customStyle="1" w:styleId="woa-h1Char">
    <w:name w:val="woa-h1 Char"/>
    <w:link w:val="woa-h1"/>
    <w:rsid w:val="007D7D71"/>
    <w:rPr>
      <w:rFonts w:ascii="Gill Sans MT" w:eastAsia="MS Mincho" w:hAnsi="Gill Sans MT" w:cs="Arial"/>
      <w:b/>
      <w:snapToGrid w:val="0"/>
      <w:color w:val="000000"/>
      <w:sz w:val="28"/>
      <w:szCs w:val="24"/>
      <w:lang w:val="en-GB" w:eastAsia="de-CH"/>
    </w:rPr>
  </w:style>
  <w:style w:type="character" w:customStyle="1" w:styleId="woa-referencesChar">
    <w:name w:val="woa-references Char"/>
    <w:link w:val="woa-references"/>
    <w:rsid w:val="007D7D71"/>
    <w:rPr>
      <w:rFonts w:ascii="Palatino Linotype" w:eastAsia="MS Mincho" w:hAnsi="Palatino Linotype" w:cs="Times New Roman"/>
      <w:bCs/>
      <w:snapToGrid w:val="0"/>
      <w:sz w:val="18"/>
      <w:szCs w:val="16"/>
      <w:lang w:val="de-CH"/>
    </w:rPr>
  </w:style>
  <w:style w:type="character" w:customStyle="1" w:styleId="woa-h3Char">
    <w:name w:val="woa-h3 Char"/>
    <w:link w:val="woa-h3"/>
    <w:rsid w:val="007D7D71"/>
    <w:rPr>
      <w:rFonts w:ascii="Gill Sans MT" w:eastAsia="Times New Roman" w:hAnsi="Gill Sans MT" w:cs="Times New Roman"/>
      <w:b/>
      <w:lang w:val="en-US" w:eastAsia="de-CH"/>
    </w:rPr>
  </w:style>
  <w:style w:type="paragraph" w:customStyle="1" w:styleId="woa-h2">
    <w:name w:val="woa-h2"/>
    <w:basedOn w:val="Normal"/>
    <w:qFormat/>
    <w:rsid w:val="007D7D71"/>
    <w:pPr>
      <w:keepNext/>
      <w:spacing w:before="120" w:after="400"/>
      <w:contextualSpacing/>
      <w:outlineLvl w:val="1"/>
    </w:pPr>
    <w:rPr>
      <w:rFonts w:ascii="Gill Sans MT" w:eastAsia="MS Mincho" w:hAnsi="Gill Sans MT"/>
      <w:b/>
      <w:bCs/>
      <w:snapToGrid w:val="0"/>
      <w:szCs w:val="24"/>
      <w:lang w:val="en-GB" w:eastAsia="de-CH"/>
    </w:rPr>
  </w:style>
  <w:style w:type="table" w:customStyle="1" w:styleId="HellesRaster-Akzent11">
    <w:name w:val="Helles Raster - Akzent 11"/>
    <w:basedOn w:val="TableNormal"/>
    <w:uiPriority w:val="62"/>
    <w:rsid w:val="007D7D71"/>
    <w:pPr>
      <w:spacing w:after="0" w:line="240" w:lineRule="auto"/>
    </w:pPr>
    <w:rPr>
      <w:rFonts w:ascii="Calibri" w:eastAsia="Calibri" w:hAnsi="Calibri" w:cs="Times New Roman"/>
      <w:lang w:val="de-CH"/>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HelleSchattierung-Akzent11">
    <w:name w:val="Helle Schattierung - Akzent 11"/>
    <w:basedOn w:val="TableNormal"/>
    <w:rsid w:val="007D7D71"/>
    <w:pPr>
      <w:spacing w:after="0" w:line="240" w:lineRule="auto"/>
    </w:pPr>
    <w:rPr>
      <w:rFonts w:ascii="Times" w:eastAsia="Times New Roman" w:hAnsi="Times" w:cs="Times New Roman"/>
      <w:color w:val="365F91"/>
      <w:sz w:val="20"/>
      <w:szCs w:val="20"/>
      <w:lang w:val="de-CH" w:eastAsia="de-CH"/>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otnoteReference">
    <w:name w:val="footnote reference"/>
    <w:basedOn w:val="DefaultParagraphFont"/>
    <w:uiPriority w:val="99"/>
    <w:semiHidden/>
    <w:unhideWhenUsed/>
    <w:rsid w:val="007D7D71"/>
    <w:rPr>
      <w:vertAlign w:val="superscript"/>
    </w:rPr>
  </w:style>
  <w:style w:type="character" w:customStyle="1" w:styleId="Heading3Char">
    <w:name w:val="Heading 3 Char"/>
    <w:basedOn w:val="DefaultParagraphFont"/>
    <w:link w:val="Heading3"/>
    <w:uiPriority w:val="9"/>
    <w:semiHidden/>
    <w:rsid w:val="007D7D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spl.com.au/OrgAg/4-OA-Pubs/4-OA-Publications/Pub-A-FP/OA-FP-A26-OTARE-Policy%20Paper_No_1601-July201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ustorganic.com/wp-content/uploads/2018/04/AustOrganicMarketReport2018_spreads_digit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s.gov.au/Ausstats/abs@.nsf/0/C2BEAD6A7DB33E86CA2582910013A993?OpenDocu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bs.gov.au/Ausstats/abs@.nsf/0/3EA331A8BCD9ADD3CA257B7B00125D00?OpenDocument" TargetMode="External"/><Relationship Id="rId4" Type="http://schemas.microsoft.com/office/2007/relationships/stylesWithEffects" Target="stylesWithEffects.xml"/><Relationship Id="rId9" Type="http://schemas.openxmlformats.org/officeDocument/2006/relationships/hyperlink" Target="http://www.agriculture.gov.au/abares/research-topics/agricultural-commodities/agricultural-commodities-trade-dat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Crop" TargetMode="External"/><Relationship Id="rId1" Type="http://schemas.openxmlformats.org/officeDocument/2006/relationships/hyperlink" Target="https://en.wikipedia.org/wiki/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6B975-0AAC-4C75-B617-D53ECF1F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1575</TotalTime>
  <Pages>5</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Wynen</dc:creator>
  <cp:lastModifiedBy>Els Wynen</cp:lastModifiedBy>
  <cp:revision>3</cp:revision>
  <dcterms:created xsi:type="dcterms:W3CDTF">2019-05-13T07:22:00Z</dcterms:created>
  <dcterms:modified xsi:type="dcterms:W3CDTF">2019-05-14T11:52:00Z</dcterms:modified>
</cp:coreProperties>
</file>