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7726" w14:textId="5E432428" w:rsidR="00BE15BA" w:rsidRPr="000E7B18" w:rsidRDefault="00BE15BA" w:rsidP="00203DCF">
      <w:pPr>
        <w:spacing w:line="240" w:lineRule="auto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0E7B18">
        <w:rPr>
          <w:rFonts w:ascii="Verdana" w:hAnsi="Verdana" w:cs="Times New Roman"/>
          <w:sz w:val="24"/>
          <w:szCs w:val="24"/>
        </w:rPr>
        <w:t>The effect of organic fert</w:t>
      </w:r>
      <w:r w:rsidR="008837EE">
        <w:rPr>
          <w:rFonts w:ascii="Verdana" w:hAnsi="Verdana" w:cs="Times New Roman"/>
          <w:sz w:val="24"/>
          <w:szCs w:val="24"/>
        </w:rPr>
        <w:t>ilizers</w:t>
      </w:r>
      <w:r w:rsidR="00C80FCE">
        <w:rPr>
          <w:rFonts w:ascii="Verdana" w:hAnsi="Verdana" w:cs="Times New Roman"/>
          <w:sz w:val="24"/>
          <w:szCs w:val="24"/>
        </w:rPr>
        <w:t xml:space="preserve"> and thinning methods</w:t>
      </w:r>
      <w:r w:rsidR="008837EE">
        <w:rPr>
          <w:rFonts w:ascii="Verdana" w:hAnsi="Verdana" w:cs="Times New Roman"/>
          <w:sz w:val="24"/>
          <w:szCs w:val="24"/>
        </w:rPr>
        <w:t xml:space="preserve"> on quality parameters </w:t>
      </w:r>
      <w:r w:rsidR="00002FF5">
        <w:rPr>
          <w:rFonts w:ascii="Verdana" w:hAnsi="Verdana" w:cs="Times New Roman"/>
          <w:sz w:val="24"/>
          <w:szCs w:val="24"/>
        </w:rPr>
        <w:t xml:space="preserve">and the yield </w:t>
      </w:r>
      <w:r w:rsidR="00C80FCE">
        <w:rPr>
          <w:rFonts w:ascii="Verdana" w:hAnsi="Verdana" w:cs="Times New Roman"/>
          <w:sz w:val="24"/>
          <w:szCs w:val="24"/>
        </w:rPr>
        <w:t>on</w:t>
      </w:r>
      <w:r w:rsidRPr="000E7B18">
        <w:rPr>
          <w:rFonts w:ascii="Verdana" w:hAnsi="Verdana" w:cs="Times New Roman"/>
          <w:sz w:val="24"/>
          <w:szCs w:val="24"/>
        </w:rPr>
        <w:t xml:space="preserve"> apple </w:t>
      </w:r>
      <w:r w:rsidR="0065335F">
        <w:rPr>
          <w:rFonts w:ascii="Verdana" w:hAnsi="Verdana" w:cs="Times New Roman"/>
          <w:sz w:val="24"/>
          <w:szCs w:val="24"/>
        </w:rPr>
        <w:t>cultivars</w:t>
      </w:r>
      <w:r w:rsidRPr="000E7B18">
        <w:rPr>
          <w:rFonts w:ascii="Verdana" w:hAnsi="Verdana" w:cs="Times New Roman"/>
          <w:sz w:val="24"/>
          <w:szCs w:val="24"/>
        </w:rPr>
        <w:t xml:space="preserve"> ‘Aroma’ and ‘Discovery’ </w:t>
      </w:r>
      <w:r w:rsidR="006F3040">
        <w:rPr>
          <w:rFonts w:ascii="Verdana" w:hAnsi="Verdana" w:cs="Times New Roman"/>
          <w:sz w:val="24"/>
          <w:szCs w:val="24"/>
        </w:rPr>
        <w:t>in Norway</w:t>
      </w:r>
    </w:p>
    <w:p w14:paraId="6734CF69" w14:textId="1B607229" w:rsidR="001A11D5" w:rsidRPr="007C04ED" w:rsidRDefault="001A11D5" w:rsidP="00203DCF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7C04ED">
        <w:rPr>
          <w:rFonts w:ascii="Verdana" w:hAnsi="Verdana" w:cs="Times New Roman"/>
          <w:sz w:val="20"/>
          <w:szCs w:val="20"/>
        </w:rPr>
        <w:t>A. Koort</w:t>
      </w:r>
      <w:r w:rsidRPr="007C04ED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Pr="007C04ED">
        <w:rPr>
          <w:rFonts w:ascii="Verdana" w:hAnsi="Verdana" w:cs="Times New Roman"/>
          <w:sz w:val="20"/>
          <w:szCs w:val="20"/>
        </w:rPr>
        <w:t xml:space="preserve">&amp; </w:t>
      </w:r>
      <w:r w:rsidR="00013A85" w:rsidRPr="007C04ED">
        <w:rPr>
          <w:rFonts w:ascii="Verdana" w:hAnsi="Verdana" w:cs="Times New Roman"/>
          <w:sz w:val="20"/>
          <w:szCs w:val="20"/>
        </w:rPr>
        <w:t>E. Vangdal</w:t>
      </w:r>
      <w:r w:rsidR="00013A85" w:rsidRPr="007C04ED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</w:p>
    <w:p w14:paraId="0D45ACB3" w14:textId="625A8C46" w:rsidR="00013A85" w:rsidRDefault="00013A85" w:rsidP="00203DC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A85">
        <w:rPr>
          <w:rFonts w:ascii="Verdana" w:hAnsi="Verdana" w:cs="Times New Roman"/>
          <w:i/>
          <w:sz w:val="20"/>
          <w:szCs w:val="20"/>
        </w:rPr>
        <w:t xml:space="preserve">NIBIO Norwegian Institute for </w:t>
      </w:r>
      <w:proofErr w:type="spellStart"/>
      <w:r w:rsidRPr="00013A85">
        <w:rPr>
          <w:rFonts w:ascii="Verdana" w:hAnsi="Verdana" w:cs="Times New Roman"/>
          <w:i/>
          <w:sz w:val="20"/>
          <w:szCs w:val="20"/>
        </w:rPr>
        <w:t>Bioeconomy</w:t>
      </w:r>
      <w:proofErr w:type="spellEnd"/>
      <w:r w:rsidRPr="00013A85">
        <w:rPr>
          <w:rFonts w:ascii="Verdana" w:hAnsi="Verdana" w:cs="Times New Roman"/>
          <w:i/>
          <w:sz w:val="20"/>
          <w:szCs w:val="20"/>
        </w:rPr>
        <w:t xml:space="preserve"> Research, Hor</w:t>
      </w:r>
      <w:r w:rsidR="007C04ED">
        <w:rPr>
          <w:rFonts w:ascii="Verdana" w:hAnsi="Verdana" w:cs="Times New Roman"/>
          <w:i/>
          <w:sz w:val="20"/>
          <w:szCs w:val="20"/>
        </w:rPr>
        <w:t xml:space="preserve">ticulture Department </w:t>
      </w:r>
      <w:proofErr w:type="spellStart"/>
      <w:r w:rsidR="007C04ED">
        <w:rPr>
          <w:rFonts w:ascii="Verdana" w:hAnsi="Verdana" w:cs="Times New Roman"/>
          <w:i/>
          <w:sz w:val="20"/>
          <w:szCs w:val="20"/>
        </w:rPr>
        <w:t>Ullensvang</w:t>
      </w:r>
      <w:proofErr w:type="spellEnd"/>
      <w:r w:rsidRPr="00013A85">
        <w:rPr>
          <w:rFonts w:ascii="Verdana" w:hAnsi="Verdana" w:cs="Times New Roman"/>
          <w:i/>
          <w:sz w:val="20"/>
          <w:szCs w:val="20"/>
        </w:rPr>
        <w:t xml:space="preserve">, 5781 </w:t>
      </w:r>
      <w:proofErr w:type="spellStart"/>
      <w:r w:rsidRPr="00013A85">
        <w:rPr>
          <w:rFonts w:ascii="Verdana" w:hAnsi="Verdana" w:cs="Times New Roman"/>
          <w:i/>
          <w:sz w:val="20"/>
          <w:szCs w:val="20"/>
        </w:rPr>
        <w:t>Lofthus</w:t>
      </w:r>
      <w:proofErr w:type="spellEnd"/>
      <w:r w:rsidRPr="00013A85">
        <w:rPr>
          <w:rFonts w:ascii="Verdana" w:hAnsi="Verdana" w:cs="Times New Roman"/>
          <w:i/>
          <w:sz w:val="20"/>
          <w:szCs w:val="20"/>
        </w:rPr>
        <w:t>, Norway</w:t>
      </w:r>
      <w:r w:rsidR="00EE1D49">
        <w:rPr>
          <w:rFonts w:ascii="Verdana" w:hAnsi="Verdana" w:cs="Times New Roman"/>
          <w:i/>
          <w:sz w:val="20"/>
          <w:szCs w:val="20"/>
        </w:rPr>
        <w:t>.</w:t>
      </w:r>
      <w:r w:rsidRPr="00013A85">
        <w:rPr>
          <w:rFonts w:ascii="Verdana" w:hAnsi="Verdana" w:cs="Times New Roman"/>
          <w:i/>
          <w:sz w:val="20"/>
          <w:szCs w:val="20"/>
        </w:rPr>
        <w:t xml:space="preserve"> </w:t>
      </w:r>
      <w:hyperlink r:id="rId6" w:history="1">
        <w:r w:rsidRPr="00013A85">
          <w:rPr>
            <w:rStyle w:val="Hyperlink"/>
            <w:rFonts w:ascii="Verdana" w:hAnsi="Verdana" w:cs="Times New Roman"/>
            <w:i/>
            <w:sz w:val="20"/>
            <w:szCs w:val="20"/>
          </w:rPr>
          <w:t>angela.koort@nibio.no</w:t>
        </w:r>
      </w:hyperlink>
      <w:r w:rsidR="00635E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FF0C52" w14:textId="77777777" w:rsidR="00013A85" w:rsidRDefault="00013A85" w:rsidP="00203DCF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013A85">
        <w:rPr>
          <w:rFonts w:ascii="Verdana" w:hAnsi="Verdana" w:cs="Times New Roman"/>
          <w:b/>
          <w:sz w:val="20"/>
          <w:szCs w:val="20"/>
        </w:rPr>
        <w:t>Implications</w:t>
      </w:r>
    </w:p>
    <w:p w14:paraId="07886F99" w14:textId="11FA2595" w:rsidR="00AE5910" w:rsidRDefault="00F545F7" w:rsidP="00203DCF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novelty of this work </w:t>
      </w:r>
      <w:r w:rsidR="006F3040">
        <w:rPr>
          <w:rFonts w:ascii="Verdana" w:hAnsi="Verdana" w:cs="Times New Roman"/>
          <w:sz w:val="20"/>
          <w:szCs w:val="20"/>
        </w:rPr>
        <w:t>was</w:t>
      </w:r>
      <w:r>
        <w:rPr>
          <w:rFonts w:ascii="Verdana" w:hAnsi="Verdana" w:cs="Times New Roman"/>
          <w:sz w:val="20"/>
          <w:szCs w:val="20"/>
        </w:rPr>
        <w:t xml:space="preserve"> to f</w:t>
      </w:r>
      <w:r w:rsidR="006F3040">
        <w:rPr>
          <w:rFonts w:ascii="Verdana" w:hAnsi="Verdana" w:cs="Times New Roman"/>
          <w:sz w:val="20"/>
          <w:szCs w:val="20"/>
        </w:rPr>
        <w:t xml:space="preserve">ind out </w:t>
      </w:r>
      <w:r w:rsidR="006D271A">
        <w:rPr>
          <w:rFonts w:ascii="Verdana" w:hAnsi="Verdana" w:cs="Times New Roman"/>
          <w:sz w:val="20"/>
          <w:szCs w:val="20"/>
        </w:rPr>
        <w:t xml:space="preserve">how </w:t>
      </w:r>
      <w:r w:rsidR="006F3040">
        <w:rPr>
          <w:rFonts w:ascii="Verdana" w:hAnsi="Verdana" w:cs="Times New Roman"/>
          <w:sz w:val="20"/>
          <w:szCs w:val="20"/>
        </w:rPr>
        <w:t>does different organic fertilizers and</w:t>
      </w:r>
      <w:r w:rsidR="006D271A">
        <w:rPr>
          <w:rFonts w:ascii="Verdana" w:hAnsi="Verdana" w:cs="Times New Roman"/>
          <w:sz w:val="20"/>
          <w:szCs w:val="20"/>
        </w:rPr>
        <w:t xml:space="preserve"> the</w:t>
      </w:r>
      <w:r w:rsidR="006F3040">
        <w:rPr>
          <w:rFonts w:ascii="Verdana" w:hAnsi="Verdana" w:cs="Times New Roman"/>
          <w:sz w:val="20"/>
          <w:szCs w:val="20"/>
        </w:rPr>
        <w:t xml:space="preserve"> thinning methods </w:t>
      </w:r>
      <w:r w:rsidR="006D271A">
        <w:rPr>
          <w:rFonts w:ascii="Verdana" w:hAnsi="Verdana" w:cs="Times New Roman"/>
          <w:sz w:val="20"/>
          <w:szCs w:val="20"/>
        </w:rPr>
        <w:t>influence</w:t>
      </w:r>
      <w:r w:rsidR="006F3040">
        <w:rPr>
          <w:rFonts w:ascii="Verdana" w:hAnsi="Verdana" w:cs="Times New Roman"/>
          <w:sz w:val="20"/>
          <w:szCs w:val="20"/>
        </w:rPr>
        <w:t xml:space="preserve"> </w:t>
      </w:r>
      <w:r w:rsidR="006D271A">
        <w:rPr>
          <w:rFonts w:ascii="Verdana" w:hAnsi="Verdana" w:cs="Times New Roman"/>
          <w:sz w:val="20"/>
          <w:szCs w:val="20"/>
        </w:rPr>
        <w:t>the</w:t>
      </w:r>
      <w:r w:rsidR="006F3040">
        <w:rPr>
          <w:rFonts w:ascii="Verdana" w:hAnsi="Verdana" w:cs="Times New Roman"/>
          <w:sz w:val="20"/>
          <w:szCs w:val="20"/>
        </w:rPr>
        <w:t xml:space="preserve"> quality parameters and the yield of apple</w:t>
      </w:r>
      <w:r w:rsidR="004060F0">
        <w:rPr>
          <w:rFonts w:ascii="Verdana" w:hAnsi="Verdana" w:cs="Times New Roman"/>
          <w:sz w:val="20"/>
          <w:szCs w:val="20"/>
        </w:rPr>
        <w:t xml:space="preserve"> (</w:t>
      </w:r>
      <w:r w:rsidR="004060F0" w:rsidRPr="004060F0">
        <w:rPr>
          <w:rFonts w:ascii="Verdana" w:hAnsi="Verdana" w:cs="Times New Roman"/>
          <w:i/>
          <w:sz w:val="20"/>
          <w:szCs w:val="20"/>
        </w:rPr>
        <w:t>Malus</w:t>
      </w:r>
      <w:r w:rsidR="009026C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026C3">
        <w:rPr>
          <w:rFonts w:ascii="Verdana" w:hAnsi="Verdana" w:cs="Times New Roman"/>
          <w:sz w:val="20"/>
          <w:szCs w:val="20"/>
        </w:rPr>
        <w:t>x</w:t>
      </w:r>
      <w:r w:rsidR="004060F0" w:rsidRPr="004060F0">
        <w:rPr>
          <w:rFonts w:ascii="Verdana" w:hAnsi="Verdana" w:cs="Times New Roman"/>
          <w:i/>
          <w:sz w:val="20"/>
          <w:szCs w:val="20"/>
        </w:rPr>
        <w:t>domestica</w:t>
      </w:r>
      <w:proofErr w:type="spellEnd"/>
      <w:r w:rsidR="004060F0">
        <w:rPr>
          <w:rFonts w:ascii="Verdana" w:hAnsi="Verdana" w:cs="Times New Roman"/>
          <w:sz w:val="20"/>
          <w:szCs w:val="20"/>
        </w:rPr>
        <w:t>)</w:t>
      </w:r>
      <w:r w:rsidR="006F3040">
        <w:rPr>
          <w:rFonts w:ascii="Verdana" w:hAnsi="Verdana" w:cs="Times New Roman"/>
          <w:sz w:val="20"/>
          <w:szCs w:val="20"/>
        </w:rPr>
        <w:t xml:space="preserve"> </w:t>
      </w:r>
      <w:r w:rsidR="006D271A">
        <w:rPr>
          <w:rFonts w:ascii="Verdana" w:hAnsi="Verdana" w:cs="Times New Roman"/>
          <w:sz w:val="20"/>
          <w:szCs w:val="20"/>
        </w:rPr>
        <w:t>cultivars</w:t>
      </w:r>
      <w:r w:rsidR="006F3040">
        <w:rPr>
          <w:rFonts w:ascii="Verdana" w:hAnsi="Verdana" w:cs="Times New Roman"/>
          <w:sz w:val="20"/>
          <w:szCs w:val="20"/>
        </w:rPr>
        <w:t xml:space="preserve"> ‘Discovery’ and ‘Aroma’</w:t>
      </w:r>
      <w:r w:rsidR="006D271A">
        <w:rPr>
          <w:rFonts w:ascii="Verdana" w:hAnsi="Verdana" w:cs="Times New Roman"/>
          <w:sz w:val="20"/>
          <w:szCs w:val="20"/>
        </w:rPr>
        <w:t xml:space="preserve"> grown in Norway</w:t>
      </w:r>
      <w:r w:rsidR="00C80FCE">
        <w:rPr>
          <w:rFonts w:ascii="Verdana" w:hAnsi="Verdana" w:cs="Times New Roman"/>
          <w:sz w:val="20"/>
          <w:szCs w:val="20"/>
        </w:rPr>
        <w:t>,</w:t>
      </w:r>
      <w:r w:rsidR="006F304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6F3040">
        <w:rPr>
          <w:rFonts w:ascii="Verdana" w:hAnsi="Verdana" w:cs="Times New Roman"/>
          <w:sz w:val="20"/>
          <w:szCs w:val="20"/>
        </w:rPr>
        <w:t>H</w:t>
      </w:r>
      <w:r w:rsidR="00E630D2">
        <w:rPr>
          <w:rFonts w:ascii="Verdana" w:hAnsi="Verdana" w:cs="Times New Roman"/>
          <w:sz w:val="20"/>
          <w:szCs w:val="20"/>
        </w:rPr>
        <w:t>ardanger</w:t>
      </w:r>
      <w:proofErr w:type="spellEnd"/>
      <w:r w:rsidR="006F3040">
        <w:rPr>
          <w:rFonts w:ascii="Verdana" w:hAnsi="Verdana" w:cs="Times New Roman"/>
          <w:sz w:val="20"/>
          <w:szCs w:val="20"/>
        </w:rPr>
        <w:t xml:space="preserve"> region. </w:t>
      </w:r>
    </w:p>
    <w:p w14:paraId="0B57D6D4" w14:textId="4E577A49" w:rsidR="00002FF5" w:rsidRPr="00F047E5" w:rsidRDefault="005B1075" w:rsidP="00203DCF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Both fertigation type and thinning method</w:t>
      </w:r>
      <w:r w:rsidR="00B66AD3">
        <w:rPr>
          <w:rFonts w:ascii="Verdana" w:hAnsi="Verdana" w:cs="Times New Roman"/>
          <w:sz w:val="20"/>
          <w:szCs w:val="20"/>
        </w:rPr>
        <w:t xml:space="preserve"> showed significant effect on </w:t>
      </w:r>
      <w:r>
        <w:rPr>
          <w:rFonts w:ascii="Verdana" w:hAnsi="Verdana" w:cs="Times New Roman"/>
          <w:sz w:val="20"/>
          <w:szCs w:val="20"/>
        </w:rPr>
        <w:t>weight and quality analyses of</w:t>
      </w:r>
      <w:r w:rsidR="00B66AD3">
        <w:rPr>
          <w:rFonts w:ascii="Verdana" w:hAnsi="Verdana" w:cs="Times New Roman"/>
          <w:sz w:val="20"/>
          <w:szCs w:val="20"/>
        </w:rPr>
        <w:t xml:space="preserve"> both cultivars. </w:t>
      </w:r>
      <w:r w:rsidR="00106381">
        <w:rPr>
          <w:rFonts w:ascii="Verdana" w:hAnsi="Verdana" w:cs="Times New Roman"/>
          <w:sz w:val="20"/>
          <w:szCs w:val="20"/>
        </w:rPr>
        <w:t>T</w:t>
      </w:r>
      <w:r w:rsidR="00515982">
        <w:rPr>
          <w:rFonts w:ascii="Verdana" w:hAnsi="Verdana" w:cs="Times New Roman"/>
          <w:sz w:val="20"/>
          <w:szCs w:val="20"/>
        </w:rPr>
        <w:t>he thinning method had stronger effect on apple weight and the fertigation type influenced more the apple quality parameters.</w:t>
      </w:r>
    </w:p>
    <w:p w14:paraId="1B75765B" w14:textId="77777777" w:rsidR="00013A85" w:rsidRDefault="00013A85" w:rsidP="00203DCF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Background and objectives</w:t>
      </w:r>
    </w:p>
    <w:p w14:paraId="00D520CC" w14:textId="4E8D9B3B" w:rsidR="00002FF5" w:rsidRPr="00F047E5" w:rsidRDefault="00536BD4" w:rsidP="00203DCF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 Norway</w:t>
      </w:r>
      <w:r w:rsidR="00090C8A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a</w:t>
      </w:r>
      <w:r w:rsidR="00C560C3">
        <w:rPr>
          <w:rFonts w:ascii="Verdana" w:hAnsi="Verdana" w:cs="Times New Roman"/>
          <w:sz w:val="20"/>
          <w:szCs w:val="20"/>
        </w:rPr>
        <w:t xml:space="preserve">pple growers are </w:t>
      </w:r>
      <w:r w:rsidR="00E630D2">
        <w:rPr>
          <w:rFonts w:ascii="Verdana" w:hAnsi="Verdana" w:cs="Times New Roman"/>
          <w:sz w:val="20"/>
          <w:szCs w:val="20"/>
        </w:rPr>
        <w:t>focusing</w:t>
      </w:r>
      <w:r w:rsidR="00C560C3">
        <w:rPr>
          <w:rFonts w:ascii="Verdana" w:hAnsi="Verdana" w:cs="Times New Roman"/>
          <w:sz w:val="20"/>
          <w:szCs w:val="20"/>
        </w:rPr>
        <w:t xml:space="preserve"> in medium size</w:t>
      </w:r>
      <w:r w:rsidR="00E630D2">
        <w:rPr>
          <w:rFonts w:ascii="Verdana" w:hAnsi="Verdana" w:cs="Times New Roman"/>
          <w:sz w:val="20"/>
          <w:szCs w:val="20"/>
        </w:rPr>
        <w:t>d</w:t>
      </w:r>
      <w:r w:rsidR="00C560C3">
        <w:rPr>
          <w:rFonts w:ascii="Verdana" w:hAnsi="Verdana" w:cs="Times New Roman"/>
          <w:sz w:val="20"/>
          <w:szCs w:val="20"/>
        </w:rPr>
        <w:t xml:space="preserve"> apples</w:t>
      </w:r>
      <w:r w:rsidR="00E630D2">
        <w:rPr>
          <w:rFonts w:ascii="Verdana" w:hAnsi="Verdana" w:cs="Times New Roman"/>
          <w:sz w:val="20"/>
          <w:szCs w:val="20"/>
        </w:rPr>
        <w:t xml:space="preserve"> suitable for 6-pack</w:t>
      </w:r>
      <w:r w:rsidR="00C560C3">
        <w:rPr>
          <w:rFonts w:ascii="Verdana" w:hAnsi="Verdana" w:cs="Times New Roman"/>
          <w:sz w:val="20"/>
          <w:szCs w:val="20"/>
        </w:rPr>
        <w:t xml:space="preserve"> </w:t>
      </w:r>
      <w:r w:rsidR="00E630D2">
        <w:rPr>
          <w:rFonts w:ascii="Verdana" w:hAnsi="Verdana" w:cs="Times New Roman"/>
          <w:sz w:val="20"/>
          <w:szCs w:val="20"/>
        </w:rPr>
        <w:t>consumer packages</w:t>
      </w:r>
      <w:r w:rsidR="00C560C3">
        <w:rPr>
          <w:rFonts w:ascii="Verdana" w:hAnsi="Verdana" w:cs="Times New Roman"/>
          <w:sz w:val="20"/>
          <w:szCs w:val="20"/>
        </w:rPr>
        <w:t xml:space="preserve">. ‘Aroma’ can have an excessive and uneven fruit set and therefore there is a growing need to find out method to </w:t>
      </w:r>
      <w:r w:rsidR="00E630D2">
        <w:rPr>
          <w:rFonts w:ascii="Verdana" w:hAnsi="Verdana" w:cs="Times New Roman"/>
          <w:sz w:val="20"/>
          <w:szCs w:val="20"/>
        </w:rPr>
        <w:t>reduce</w:t>
      </w:r>
      <w:r w:rsidR="00C560C3">
        <w:rPr>
          <w:rFonts w:ascii="Verdana" w:hAnsi="Verdana" w:cs="Times New Roman"/>
          <w:sz w:val="20"/>
          <w:szCs w:val="20"/>
        </w:rPr>
        <w:t xml:space="preserve"> the fruit </w:t>
      </w:r>
      <w:r w:rsidR="00E630D2">
        <w:rPr>
          <w:rFonts w:ascii="Verdana" w:hAnsi="Verdana" w:cs="Times New Roman"/>
          <w:sz w:val="20"/>
          <w:szCs w:val="20"/>
        </w:rPr>
        <w:t>size</w:t>
      </w:r>
      <w:r w:rsidR="00C560C3">
        <w:rPr>
          <w:rFonts w:ascii="Verdana" w:hAnsi="Verdana" w:cs="Times New Roman"/>
          <w:sz w:val="20"/>
          <w:szCs w:val="20"/>
        </w:rPr>
        <w:t xml:space="preserve"> of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E630D2">
        <w:rPr>
          <w:rFonts w:ascii="Verdana" w:hAnsi="Verdana" w:cs="Times New Roman"/>
          <w:sz w:val="20"/>
          <w:szCs w:val="20"/>
        </w:rPr>
        <w:t>‘Aroma’. ‘Discovery’ is rather small-fruited cultivar, hence mor</w:t>
      </w:r>
      <w:r w:rsidR="001D2CA9">
        <w:rPr>
          <w:rFonts w:ascii="Verdana" w:hAnsi="Verdana" w:cs="Times New Roman"/>
          <w:sz w:val="20"/>
          <w:szCs w:val="20"/>
        </w:rPr>
        <w:t xml:space="preserve">e even and bigger fruit size is </w:t>
      </w:r>
      <w:r w:rsidR="00E630D2">
        <w:rPr>
          <w:rFonts w:ascii="Verdana" w:hAnsi="Verdana" w:cs="Times New Roman"/>
          <w:sz w:val="20"/>
          <w:szCs w:val="20"/>
        </w:rPr>
        <w:t xml:space="preserve">desired. </w:t>
      </w:r>
      <w:r>
        <w:rPr>
          <w:rFonts w:ascii="Verdana" w:hAnsi="Verdana" w:cs="Times New Roman"/>
          <w:sz w:val="20"/>
          <w:szCs w:val="20"/>
        </w:rPr>
        <w:t>In our study</w:t>
      </w:r>
      <w:r w:rsidR="00BB5709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d</w:t>
      </w:r>
      <w:r w:rsidR="00C560C3">
        <w:rPr>
          <w:rFonts w:ascii="Verdana" w:hAnsi="Verdana" w:cs="Times New Roman"/>
          <w:sz w:val="20"/>
          <w:szCs w:val="20"/>
        </w:rPr>
        <w:t xml:space="preserve">ifferent thinning methods </w:t>
      </w:r>
      <w:r w:rsidR="00875318">
        <w:rPr>
          <w:rFonts w:ascii="Verdana" w:hAnsi="Verdana" w:cs="Times New Roman"/>
          <w:sz w:val="20"/>
          <w:szCs w:val="20"/>
        </w:rPr>
        <w:t>with</w:t>
      </w:r>
      <w:r w:rsidR="00C560C3">
        <w:rPr>
          <w:rFonts w:ascii="Verdana" w:hAnsi="Verdana" w:cs="Times New Roman"/>
          <w:sz w:val="20"/>
          <w:szCs w:val="20"/>
        </w:rPr>
        <w:t xml:space="preserve"> two different types of organic fertilizer</w:t>
      </w:r>
      <w:r w:rsidR="00875318">
        <w:rPr>
          <w:rFonts w:ascii="Verdana" w:hAnsi="Verdana" w:cs="Times New Roman"/>
          <w:sz w:val="20"/>
          <w:szCs w:val="20"/>
        </w:rPr>
        <w:t xml:space="preserve">s </w:t>
      </w:r>
      <w:r w:rsidR="00C560C3">
        <w:rPr>
          <w:rFonts w:ascii="Verdana" w:hAnsi="Verdana" w:cs="Times New Roman"/>
          <w:sz w:val="20"/>
          <w:szCs w:val="20"/>
        </w:rPr>
        <w:t>were used to influence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C560C3">
        <w:rPr>
          <w:rFonts w:ascii="Verdana" w:hAnsi="Verdana" w:cs="Times New Roman"/>
          <w:sz w:val="20"/>
          <w:szCs w:val="20"/>
        </w:rPr>
        <w:t xml:space="preserve">the fruit size and the yield. </w:t>
      </w:r>
      <w:r w:rsidR="00875318">
        <w:rPr>
          <w:rFonts w:ascii="Verdana" w:hAnsi="Verdana" w:cs="Times New Roman"/>
          <w:sz w:val="20"/>
          <w:szCs w:val="20"/>
        </w:rPr>
        <w:t>Our hypothesis was that organic fertilizers provide optimal nutrient ranges during the growing sea</w:t>
      </w:r>
      <w:r w:rsidR="00E630D2">
        <w:rPr>
          <w:rFonts w:ascii="Verdana" w:hAnsi="Verdana" w:cs="Times New Roman"/>
          <w:sz w:val="20"/>
          <w:szCs w:val="20"/>
        </w:rPr>
        <w:t xml:space="preserve">son to </w:t>
      </w:r>
      <w:r w:rsidR="009026C3">
        <w:rPr>
          <w:rFonts w:ascii="Verdana" w:hAnsi="Verdana" w:cs="Times New Roman"/>
          <w:sz w:val="20"/>
          <w:szCs w:val="20"/>
        </w:rPr>
        <w:t xml:space="preserve">both </w:t>
      </w:r>
      <w:r w:rsidR="00E630D2">
        <w:rPr>
          <w:rFonts w:ascii="Verdana" w:hAnsi="Verdana" w:cs="Times New Roman"/>
          <w:sz w:val="20"/>
          <w:szCs w:val="20"/>
        </w:rPr>
        <w:t xml:space="preserve">cultivars </w:t>
      </w:r>
      <w:r w:rsidR="00875318">
        <w:rPr>
          <w:rFonts w:ascii="Verdana" w:hAnsi="Verdana" w:cs="Times New Roman"/>
          <w:sz w:val="20"/>
          <w:szCs w:val="20"/>
        </w:rPr>
        <w:t>and have a positive effect on the yield</w:t>
      </w:r>
      <w:r w:rsidR="00090C8A">
        <w:rPr>
          <w:rFonts w:ascii="Verdana" w:hAnsi="Verdana" w:cs="Times New Roman"/>
          <w:sz w:val="20"/>
          <w:szCs w:val="20"/>
        </w:rPr>
        <w:t xml:space="preserve"> and quality parameters</w:t>
      </w:r>
      <w:r w:rsidR="00875318">
        <w:rPr>
          <w:rFonts w:ascii="Verdana" w:hAnsi="Verdana" w:cs="Times New Roman"/>
          <w:sz w:val="20"/>
          <w:szCs w:val="20"/>
        </w:rPr>
        <w:t xml:space="preserve">. </w:t>
      </w:r>
      <w:r w:rsidR="00782512">
        <w:rPr>
          <w:rFonts w:ascii="Verdana" w:hAnsi="Verdana" w:cs="Times New Roman"/>
          <w:sz w:val="20"/>
          <w:szCs w:val="20"/>
        </w:rPr>
        <w:t>However, o</w:t>
      </w:r>
      <w:r w:rsidR="00C560C3">
        <w:rPr>
          <w:rFonts w:ascii="Verdana" w:hAnsi="Verdana" w:cs="Times New Roman"/>
          <w:sz w:val="20"/>
          <w:szCs w:val="20"/>
        </w:rPr>
        <w:t xml:space="preserve">rganic fertilizers tend to have slow nitrogen release in the beginning of the season, while synthetic fertilizers can provide optimal levels of nutrients. </w:t>
      </w:r>
      <w:r w:rsidR="00782512">
        <w:rPr>
          <w:rFonts w:ascii="Verdana" w:hAnsi="Verdana" w:cs="Times New Roman"/>
          <w:sz w:val="20"/>
          <w:szCs w:val="20"/>
        </w:rPr>
        <w:t>In our experiment, t</w:t>
      </w:r>
      <w:r w:rsidR="00126084">
        <w:rPr>
          <w:rFonts w:ascii="Verdana" w:hAnsi="Verdana" w:cs="Times New Roman"/>
          <w:sz w:val="20"/>
          <w:szCs w:val="20"/>
        </w:rPr>
        <w:t>wo</w:t>
      </w:r>
      <w:r w:rsidR="004812B9">
        <w:rPr>
          <w:rFonts w:ascii="Verdana" w:hAnsi="Verdana" w:cs="Times New Roman"/>
          <w:sz w:val="20"/>
          <w:szCs w:val="20"/>
        </w:rPr>
        <w:t xml:space="preserve"> </w:t>
      </w:r>
      <w:r w:rsidR="00126084">
        <w:rPr>
          <w:rFonts w:ascii="Verdana" w:hAnsi="Verdana" w:cs="Times New Roman"/>
          <w:sz w:val="20"/>
          <w:szCs w:val="20"/>
        </w:rPr>
        <w:t xml:space="preserve">different </w:t>
      </w:r>
      <w:r w:rsidR="004812B9">
        <w:rPr>
          <w:rFonts w:ascii="Verdana" w:hAnsi="Verdana" w:cs="Times New Roman"/>
          <w:sz w:val="20"/>
          <w:szCs w:val="20"/>
        </w:rPr>
        <w:t>organic fertilizers</w:t>
      </w:r>
      <w:r w:rsidR="00126084">
        <w:rPr>
          <w:rFonts w:ascii="Verdana" w:hAnsi="Verdana" w:cs="Times New Roman"/>
          <w:sz w:val="20"/>
          <w:szCs w:val="20"/>
        </w:rPr>
        <w:t xml:space="preserve"> with two fertigation levels were used: </w:t>
      </w:r>
      <w:r w:rsidR="004812B9">
        <w:rPr>
          <w:rFonts w:ascii="Verdana" w:hAnsi="Verdana" w:cs="Times New Roman"/>
          <w:sz w:val="20"/>
          <w:szCs w:val="20"/>
        </w:rPr>
        <w:t>pelleted fertilizer Marihøne Pluss 8–4–5 (</w:t>
      </w:r>
      <w:r w:rsidR="00B9552A">
        <w:rPr>
          <w:rFonts w:ascii="Verdana" w:hAnsi="Verdana" w:cs="Times New Roman"/>
          <w:sz w:val="20"/>
          <w:szCs w:val="20"/>
        </w:rPr>
        <w:t xml:space="preserve">chicken manure, </w:t>
      </w:r>
      <w:r w:rsidR="004812B9">
        <w:rPr>
          <w:rFonts w:ascii="Verdana" w:hAnsi="Verdana" w:cs="Times New Roman"/>
          <w:sz w:val="20"/>
          <w:szCs w:val="20"/>
        </w:rPr>
        <w:t>meat</w:t>
      </w:r>
      <w:r w:rsidR="00E4613C">
        <w:rPr>
          <w:rFonts w:ascii="Verdana" w:hAnsi="Verdana" w:cs="Times New Roman"/>
          <w:sz w:val="20"/>
          <w:szCs w:val="20"/>
        </w:rPr>
        <w:t xml:space="preserve"> bone meal and </w:t>
      </w:r>
      <w:r w:rsidR="00AE5910">
        <w:rPr>
          <w:rFonts w:ascii="Verdana" w:hAnsi="Verdana" w:cs="Times New Roman"/>
          <w:sz w:val="20"/>
          <w:szCs w:val="20"/>
        </w:rPr>
        <w:t>vinasse</w:t>
      </w:r>
      <w:r w:rsidR="00126084">
        <w:rPr>
          <w:rFonts w:ascii="Verdana" w:hAnsi="Verdana" w:cs="Times New Roman"/>
          <w:sz w:val="20"/>
          <w:szCs w:val="20"/>
        </w:rPr>
        <w:t>)</w:t>
      </w:r>
      <w:r w:rsidR="004812B9">
        <w:rPr>
          <w:rFonts w:ascii="Verdana" w:hAnsi="Verdana" w:cs="Times New Roman"/>
          <w:sz w:val="20"/>
          <w:szCs w:val="20"/>
        </w:rPr>
        <w:t xml:space="preserve"> and liquid fertilizer Pioneer H</w:t>
      </w:r>
      <w:r w:rsidR="000239D0">
        <w:rPr>
          <w:rFonts w:ascii="Verdana" w:hAnsi="Verdana" w:cs="Times New Roman"/>
          <w:sz w:val="20"/>
          <w:szCs w:val="20"/>
        </w:rPr>
        <w:t>i F</w:t>
      </w:r>
      <w:r w:rsidR="004812B9">
        <w:rPr>
          <w:rFonts w:ascii="Verdana" w:hAnsi="Verdana" w:cs="Times New Roman"/>
          <w:sz w:val="20"/>
          <w:szCs w:val="20"/>
        </w:rPr>
        <w:t>ruit</w:t>
      </w:r>
      <w:r w:rsidR="000239D0">
        <w:rPr>
          <w:rFonts w:ascii="Verdana" w:hAnsi="Verdana" w:cs="Times New Roman"/>
          <w:sz w:val="20"/>
          <w:szCs w:val="20"/>
        </w:rPr>
        <w:t xml:space="preserve"> 4–1–5</w:t>
      </w:r>
      <w:r w:rsidR="00AE5910">
        <w:rPr>
          <w:rFonts w:ascii="Verdana" w:hAnsi="Verdana" w:cs="Times New Roman"/>
          <w:sz w:val="20"/>
          <w:szCs w:val="20"/>
        </w:rPr>
        <w:t xml:space="preserve"> (</w:t>
      </w:r>
      <w:r w:rsidR="000239D0">
        <w:rPr>
          <w:rFonts w:ascii="Verdana" w:hAnsi="Verdana" w:cs="Times New Roman"/>
          <w:sz w:val="20"/>
          <w:szCs w:val="20"/>
        </w:rPr>
        <w:t>organic plant material, natural minerals, extracts of sugarcane and potato</w:t>
      </w:r>
      <w:r w:rsidR="00126084">
        <w:rPr>
          <w:rFonts w:ascii="Verdana" w:hAnsi="Verdana" w:cs="Times New Roman"/>
          <w:sz w:val="20"/>
          <w:szCs w:val="20"/>
        </w:rPr>
        <w:t xml:space="preserve">). </w:t>
      </w:r>
      <w:r w:rsidR="00355E79">
        <w:rPr>
          <w:rFonts w:ascii="Verdana" w:hAnsi="Verdana" w:cs="Times New Roman"/>
          <w:sz w:val="20"/>
          <w:szCs w:val="20"/>
        </w:rPr>
        <w:t xml:space="preserve"> </w:t>
      </w:r>
      <w:r w:rsidR="00AE5910">
        <w:rPr>
          <w:rFonts w:ascii="Verdana" w:hAnsi="Verdana" w:cs="Times New Roman"/>
          <w:sz w:val="20"/>
          <w:szCs w:val="20"/>
        </w:rPr>
        <w:t xml:space="preserve"> </w:t>
      </w:r>
    </w:p>
    <w:p w14:paraId="0726ADEB" w14:textId="0F877F9F" w:rsidR="00013A85" w:rsidRDefault="00013A85" w:rsidP="00203DCF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Key results and discussion</w:t>
      </w:r>
    </w:p>
    <w:p w14:paraId="71EAC711" w14:textId="63520B41" w:rsidR="00D16BF2" w:rsidRDefault="00DE5FB0" w:rsidP="00203DCF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Both o</w:t>
      </w:r>
      <w:r w:rsidR="00373C2C">
        <w:rPr>
          <w:rFonts w:ascii="Verdana" w:hAnsi="Verdana" w:cs="Times New Roman"/>
          <w:sz w:val="20"/>
          <w:szCs w:val="20"/>
        </w:rPr>
        <w:t>rganic fertilizers</w:t>
      </w:r>
      <w:r w:rsidR="00B463D0">
        <w:rPr>
          <w:rFonts w:ascii="Verdana" w:hAnsi="Verdana" w:cs="Times New Roman"/>
          <w:sz w:val="20"/>
          <w:szCs w:val="20"/>
        </w:rPr>
        <w:t xml:space="preserve"> </w:t>
      </w:r>
      <w:r w:rsidR="00807503">
        <w:rPr>
          <w:rFonts w:ascii="Verdana" w:hAnsi="Verdana" w:cs="Times New Roman"/>
          <w:sz w:val="20"/>
          <w:szCs w:val="20"/>
        </w:rPr>
        <w:t xml:space="preserve">and </w:t>
      </w:r>
      <w:r w:rsidR="0086221A">
        <w:rPr>
          <w:rFonts w:ascii="Verdana" w:hAnsi="Verdana" w:cs="Times New Roman"/>
          <w:sz w:val="20"/>
          <w:szCs w:val="20"/>
        </w:rPr>
        <w:t xml:space="preserve">the </w:t>
      </w:r>
      <w:r w:rsidR="00373C2C">
        <w:rPr>
          <w:rFonts w:ascii="Verdana" w:hAnsi="Verdana" w:cs="Times New Roman"/>
          <w:sz w:val="20"/>
          <w:szCs w:val="20"/>
        </w:rPr>
        <w:t>thinning method</w:t>
      </w:r>
      <w:r w:rsidR="00807503">
        <w:rPr>
          <w:rFonts w:ascii="Verdana" w:hAnsi="Verdana" w:cs="Times New Roman"/>
          <w:sz w:val="20"/>
          <w:szCs w:val="20"/>
        </w:rPr>
        <w:t>s</w:t>
      </w:r>
      <w:r w:rsidR="00373C2C">
        <w:rPr>
          <w:rFonts w:ascii="Verdana" w:hAnsi="Verdana" w:cs="Times New Roman"/>
          <w:sz w:val="20"/>
          <w:szCs w:val="20"/>
        </w:rPr>
        <w:t xml:space="preserve"> had </w:t>
      </w:r>
      <w:r w:rsidR="002E31F1">
        <w:rPr>
          <w:rFonts w:ascii="Verdana" w:hAnsi="Verdana" w:cs="Times New Roman"/>
          <w:sz w:val="20"/>
          <w:szCs w:val="20"/>
        </w:rPr>
        <w:t xml:space="preserve">significant effect on </w:t>
      </w:r>
      <w:r>
        <w:rPr>
          <w:rFonts w:ascii="Verdana" w:hAnsi="Verdana" w:cs="Times New Roman"/>
          <w:sz w:val="20"/>
          <w:szCs w:val="20"/>
        </w:rPr>
        <w:t>the weight</w:t>
      </w:r>
      <w:r w:rsidR="002E31F1">
        <w:rPr>
          <w:rFonts w:ascii="Verdana" w:hAnsi="Verdana" w:cs="Times New Roman"/>
          <w:sz w:val="20"/>
          <w:szCs w:val="20"/>
        </w:rPr>
        <w:t xml:space="preserve"> and on</w:t>
      </w:r>
      <w:r>
        <w:rPr>
          <w:rFonts w:ascii="Verdana" w:hAnsi="Verdana" w:cs="Times New Roman"/>
          <w:sz w:val="20"/>
          <w:szCs w:val="20"/>
        </w:rPr>
        <w:t xml:space="preserve"> quality parameters on</w:t>
      </w:r>
      <w:r w:rsidR="00373C2C">
        <w:rPr>
          <w:rFonts w:ascii="Verdana" w:hAnsi="Verdana" w:cs="Times New Roman"/>
          <w:sz w:val="20"/>
          <w:szCs w:val="20"/>
        </w:rPr>
        <w:t xml:space="preserve"> </w:t>
      </w:r>
      <w:r w:rsidR="00E25C4B">
        <w:rPr>
          <w:rFonts w:ascii="Verdana" w:hAnsi="Verdana" w:cs="Times New Roman"/>
          <w:sz w:val="20"/>
          <w:szCs w:val="20"/>
        </w:rPr>
        <w:t>both cultivar</w:t>
      </w:r>
      <w:r>
        <w:rPr>
          <w:rFonts w:ascii="Verdana" w:hAnsi="Verdana" w:cs="Times New Roman"/>
          <w:sz w:val="20"/>
          <w:szCs w:val="20"/>
        </w:rPr>
        <w:t>s</w:t>
      </w:r>
      <w:r w:rsidR="0086221A">
        <w:rPr>
          <w:rFonts w:ascii="Verdana" w:hAnsi="Verdana" w:cs="Times New Roman"/>
          <w:sz w:val="20"/>
          <w:szCs w:val="20"/>
        </w:rPr>
        <w:t xml:space="preserve"> ‘Aroma’ and</w:t>
      </w:r>
      <w:r>
        <w:rPr>
          <w:rFonts w:ascii="Verdana" w:hAnsi="Verdana" w:cs="Times New Roman"/>
          <w:sz w:val="20"/>
          <w:szCs w:val="20"/>
        </w:rPr>
        <w:t xml:space="preserve"> ‘Discovery’</w:t>
      </w:r>
      <w:r w:rsidR="00373C2C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Since there was clearer tendency with cultivar ‘Aroma’,</w:t>
      </w:r>
      <w:r w:rsidR="00DD1DA5">
        <w:rPr>
          <w:rFonts w:ascii="Verdana" w:hAnsi="Verdana" w:cs="Times New Roman"/>
          <w:sz w:val="20"/>
          <w:szCs w:val="20"/>
        </w:rPr>
        <w:t xml:space="preserve"> its results </w:t>
      </w:r>
      <w:r w:rsidR="00337A5D">
        <w:rPr>
          <w:rFonts w:ascii="Verdana" w:hAnsi="Verdana" w:cs="Times New Roman"/>
          <w:sz w:val="20"/>
          <w:szCs w:val="20"/>
        </w:rPr>
        <w:t>on</w:t>
      </w:r>
      <w:r w:rsidR="00397C4E">
        <w:rPr>
          <w:rFonts w:ascii="Verdana" w:hAnsi="Verdana" w:cs="Times New Roman"/>
          <w:sz w:val="20"/>
          <w:szCs w:val="20"/>
        </w:rPr>
        <w:t xml:space="preserve"> fruit quality parameters </w:t>
      </w:r>
      <w:r w:rsidR="00DD1DA5">
        <w:rPr>
          <w:rFonts w:ascii="Verdana" w:hAnsi="Verdana" w:cs="Times New Roman"/>
          <w:sz w:val="20"/>
          <w:szCs w:val="20"/>
        </w:rPr>
        <w:t>are mainly discussed</w:t>
      </w:r>
      <w:r w:rsidR="00CF762C">
        <w:rPr>
          <w:rFonts w:ascii="Verdana" w:hAnsi="Verdana" w:cs="Times New Roman"/>
          <w:sz w:val="20"/>
          <w:szCs w:val="20"/>
        </w:rPr>
        <w:t xml:space="preserve"> here</w:t>
      </w:r>
      <w:r w:rsidR="00DD1DA5">
        <w:rPr>
          <w:rFonts w:ascii="Verdana" w:hAnsi="Verdana" w:cs="Times New Roman"/>
          <w:sz w:val="20"/>
          <w:szCs w:val="20"/>
        </w:rPr>
        <w:t xml:space="preserve">. </w:t>
      </w:r>
      <w:r w:rsidR="00361391">
        <w:rPr>
          <w:rFonts w:ascii="Verdana" w:hAnsi="Verdana" w:cs="Times New Roman"/>
          <w:sz w:val="20"/>
          <w:szCs w:val="20"/>
        </w:rPr>
        <w:t>T</w:t>
      </w:r>
      <w:r w:rsidR="00D80C43">
        <w:rPr>
          <w:rFonts w:ascii="Verdana" w:hAnsi="Verdana" w:cs="Times New Roman"/>
          <w:sz w:val="20"/>
          <w:szCs w:val="20"/>
        </w:rPr>
        <w:t>here was significant effect on weight with the strong thinning in the ‘Aroma’ orchard rather than fertigation type</w:t>
      </w:r>
      <w:r w:rsidR="00397C4E">
        <w:rPr>
          <w:rFonts w:ascii="Verdana" w:hAnsi="Verdana" w:cs="Times New Roman"/>
          <w:sz w:val="20"/>
          <w:szCs w:val="20"/>
        </w:rPr>
        <w:t xml:space="preserve"> in 2016</w:t>
      </w:r>
      <w:r w:rsidR="00D80C43">
        <w:rPr>
          <w:rFonts w:ascii="Verdana" w:hAnsi="Verdana" w:cs="Times New Roman"/>
          <w:sz w:val="20"/>
          <w:szCs w:val="20"/>
        </w:rPr>
        <w:t xml:space="preserve">. </w:t>
      </w:r>
      <w:r w:rsidR="00397C4E">
        <w:rPr>
          <w:rFonts w:ascii="Verdana" w:hAnsi="Verdana" w:cs="Times New Roman"/>
          <w:sz w:val="20"/>
          <w:szCs w:val="20"/>
        </w:rPr>
        <w:t>Pelleted fertilizer Marihøne Pluss 60 kg N/ha with strong thinning gave</w:t>
      </w:r>
      <w:r w:rsidR="00D80C43">
        <w:rPr>
          <w:rFonts w:ascii="Verdana" w:hAnsi="Verdana" w:cs="Times New Roman"/>
          <w:sz w:val="20"/>
          <w:szCs w:val="20"/>
        </w:rPr>
        <w:t xml:space="preserve"> highest </w:t>
      </w:r>
      <w:r w:rsidR="00CF762C">
        <w:rPr>
          <w:rFonts w:ascii="Verdana" w:hAnsi="Verdana" w:cs="Times New Roman"/>
          <w:sz w:val="20"/>
          <w:szCs w:val="20"/>
        </w:rPr>
        <w:t xml:space="preserve">results in </w:t>
      </w:r>
      <w:r w:rsidR="00D80C43">
        <w:rPr>
          <w:rFonts w:ascii="Verdana" w:hAnsi="Verdana" w:cs="Times New Roman"/>
          <w:sz w:val="20"/>
          <w:szCs w:val="20"/>
        </w:rPr>
        <w:t>weight</w:t>
      </w:r>
      <w:r w:rsidR="005A21CB">
        <w:rPr>
          <w:rFonts w:ascii="Verdana" w:hAnsi="Verdana" w:cs="Times New Roman"/>
          <w:sz w:val="20"/>
          <w:szCs w:val="20"/>
        </w:rPr>
        <w:t xml:space="preserve"> (</w:t>
      </w:r>
      <w:r w:rsidR="006B2462">
        <w:rPr>
          <w:rFonts w:ascii="Verdana" w:hAnsi="Verdana" w:cs="Times New Roman"/>
          <w:sz w:val="20"/>
          <w:szCs w:val="20"/>
        </w:rPr>
        <w:t>337</w:t>
      </w:r>
      <w:proofErr w:type="gramStart"/>
      <w:r w:rsidR="006B2462">
        <w:rPr>
          <w:rFonts w:ascii="Verdana" w:hAnsi="Verdana" w:cs="Times New Roman"/>
          <w:sz w:val="20"/>
          <w:szCs w:val="20"/>
        </w:rPr>
        <w:t>,6</w:t>
      </w:r>
      <w:proofErr w:type="gramEnd"/>
      <w:r w:rsidR="006B2462">
        <w:rPr>
          <w:rFonts w:ascii="Verdana" w:hAnsi="Verdana" w:cs="Times New Roman"/>
          <w:sz w:val="20"/>
          <w:szCs w:val="20"/>
        </w:rPr>
        <w:t xml:space="preserve"> </w:t>
      </w:r>
      <w:r w:rsidR="005A21CB">
        <w:rPr>
          <w:rFonts w:ascii="Verdana" w:hAnsi="Verdana" w:cs="Times New Roman"/>
          <w:sz w:val="20"/>
          <w:szCs w:val="20"/>
        </w:rPr>
        <w:t>g</w:t>
      </w:r>
      <w:r w:rsidR="00397C4E">
        <w:rPr>
          <w:rFonts w:ascii="Verdana" w:hAnsi="Verdana" w:cs="Times New Roman"/>
          <w:sz w:val="20"/>
          <w:szCs w:val="20"/>
        </w:rPr>
        <w:t xml:space="preserve"> per fruit</w:t>
      </w:r>
      <w:r w:rsidR="005A21CB">
        <w:rPr>
          <w:rFonts w:ascii="Verdana" w:hAnsi="Verdana" w:cs="Times New Roman"/>
          <w:sz w:val="20"/>
          <w:szCs w:val="20"/>
        </w:rPr>
        <w:t>)</w:t>
      </w:r>
      <w:r w:rsidR="0086221A">
        <w:rPr>
          <w:rFonts w:ascii="Verdana" w:hAnsi="Verdana" w:cs="Times New Roman"/>
          <w:sz w:val="20"/>
          <w:szCs w:val="20"/>
        </w:rPr>
        <w:t xml:space="preserve"> </w:t>
      </w:r>
      <w:r w:rsidR="00E25C4B">
        <w:rPr>
          <w:rFonts w:ascii="Verdana" w:hAnsi="Verdana" w:cs="Times New Roman"/>
          <w:sz w:val="20"/>
          <w:szCs w:val="20"/>
        </w:rPr>
        <w:t xml:space="preserve">when </w:t>
      </w:r>
      <w:r w:rsidR="0086221A">
        <w:rPr>
          <w:rFonts w:ascii="Verdana" w:hAnsi="Verdana" w:cs="Times New Roman"/>
          <w:sz w:val="20"/>
          <w:szCs w:val="20"/>
        </w:rPr>
        <w:t xml:space="preserve">compared to </w:t>
      </w:r>
      <w:r w:rsidR="00397C4E">
        <w:rPr>
          <w:rFonts w:ascii="Verdana" w:hAnsi="Verdana" w:cs="Times New Roman"/>
          <w:sz w:val="20"/>
          <w:szCs w:val="20"/>
        </w:rPr>
        <w:t>same fertigation type</w:t>
      </w:r>
      <w:r w:rsidR="0086173E">
        <w:rPr>
          <w:rFonts w:ascii="Verdana" w:hAnsi="Verdana" w:cs="Times New Roman"/>
          <w:sz w:val="20"/>
          <w:szCs w:val="20"/>
        </w:rPr>
        <w:t>’s</w:t>
      </w:r>
      <w:r w:rsidR="00397C4E">
        <w:rPr>
          <w:rFonts w:ascii="Verdana" w:hAnsi="Verdana" w:cs="Times New Roman"/>
          <w:sz w:val="20"/>
          <w:szCs w:val="20"/>
        </w:rPr>
        <w:t xml:space="preserve"> </w:t>
      </w:r>
      <w:r w:rsidR="00D80C43">
        <w:rPr>
          <w:rFonts w:ascii="Verdana" w:hAnsi="Verdana" w:cs="Times New Roman"/>
          <w:sz w:val="20"/>
          <w:szCs w:val="20"/>
        </w:rPr>
        <w:t xml:space="preserve">weak </w:t>
      </w:r>
      <w:r w:rsidR="006B2462">
        <w:rPr>
          <w:rFonts w:ascii="Verdana" w:hAnsi="Verdana" w:cs="Times New Roman"/>
          <w:sz w:val="20"/>
          <w:szCs w:val="20"/>
        </w:rPr>
        <w:t xml:space="preserve">thinning (290,1 </w:t>
      </w:r>
      <w:r w:rsidR="00CF762C">
        <w:rPr>
          <w:rFonts w:ascii="Verdana" w:hAnsi="Verdana" w:cs="Times New Roman"/>
          <w:sz w:val="20"/>
          <w:szCs w:val="20"/>
        </w:rPr>
        <w:t xml:space="preserve">g), </w:t>
      </w:r>
      <w:r w:rsidR="005A21CB">
        <w:rPr>
          <w:rFonts w:ascii="Verdana" w:hAnsi="Verdana" w:cs="Times New Roman"/>
          <w:sz w:val="20"/>
          <w:szCs w:val="20"/>
        </w:rPr>
        <w:t>to</w:t>
      </w:r>
      <w:r w:rsidR="00397C4E">
        <w:rPr>
          <w:rFonts w:ascii="Verdana" w:hAnsi="Verdana" w:cs="Times New Roman"/>
          <w:sz w:val="20"/>
          <w:szCs w:val="20"/>
        </w:rPr>
        <w:t xml:space="preserve"> Pioneer Hi fruit 60 kg N/ha</w:t>
      </w:r>
      <w:r w:rsidR="005A21CB">
        <w:rPr>
          <w:rFonts w:ascii="Verdana" w:hAnsi="Verdana" w:cs="Times New Roman"/>
          <w:sz w:val="20"/>
          <w:szCs w:val="20"/>
        </w:rPr>
        <w:t xml:space="preserve"> </w:t>
      </w:r>
      <w:r w:rsidR="0086221A">
        <w:rPr>
          <w:rFonts w:ascii="Verdana" w:hAnsi="Verdana" w:cs="Times New Roman"/>
          <w:sz w:val="20"/>
          <w:szCs w:val="20"/>
        </w:rPr>
        <w:t xml:space="preserve">weak thinning </w:t>
      </w:r>
      <w:r w:rsidR="00ED5484">
        <w:rPr>
          <w:rFonts w:ascii="Verdana" w:hAnsi="Verdana" w:cs="Times New Roman"/>
          <w:sz w:val="20"/>
          <w:szCs w:val="20"/>
        </w:rPr>
        <w:t>(273,9</w:t>
      </w:r>
      <w:r w:rsidR="006B2462">
        <w:rPr>
          <w:rFonts w:ascii="Verdana" w:hAnsi="Verdana" w:cs="Times New Roman"/>
          <w:sz w:val="20"/>
          <w:szCs w:val="20"/>
        </w:rPr>
        <w:t xml:space="preserve"> </w:t>
      </w:r>
      <w:r w:rsidR="005A21CB">
        <w:rPr>
          <w:rFonts w:ascii="Verdana" w:hAnsi="Verdana" w:cs="Times New Roman"/>
          <w:sz w:val="20"/>
          <w:szCs w:val="20"/>
        </w:rPr>
        <w:t>g)</w:t>
      </w:r>
      <w:r w:rsidR="00397C4E">
        <w:rPr>
          <w:rFonts w:ascii="Verdana" w:hAnsi="Verdana" w:cs="Times New Roman"/>
          <w:sz w:val="20"/>
          <w:szCs w:val="20"/>
        </w:rPr>
        <w:t xml:space="preserve"> and to 30 kg N/ha Marihøne Pluss with weak </w:t>
      </w:r>
      <w:r w:rsidR="00CF762C">
        <w:rPr>
          <w:rFonts w:ascii="Verdana" w:hAnsi="Verdana" w:cs="Times New Roman"/>
          <w:sz w:val="20"/>
          <w:szCs w:val="20"/>
        </w:rPr>
        <w:t>thinning</w:t>
      </w:r>
      <w:r w:rsidR="00ED5484">
        <w:rPr>
          <w:rFonts w:ascii="Verdana" w:hAnsi="Verdana" w:cs="Times New Roman"/>
          <w:sz w:val="20"/>
          <w:szCs w:val="20"/>
        </w:rPr>
        <w:t xml:space="preserve"> (248,3</w:t>
      </w:r>
      <w:r w:rsidR="00397C4E">
        <w:rPr>
          <w:rFonts w:ascii="Verdana" w:hAnsi="Verdana" w:cs="Times New Roman"/>
          <w:sz w:val="20"/>
          <w:szCs w:val="20"/>
        </w:rPr>
        <w:t xml:space="preserve"> g)</w:t>
      </w:r>
      <w:r w:rsidR="00E25C4B">
        <w:rPr>
          <w:rFonts w:ascii="Verdana" w:hAnsi="Verdana" w:cs="Times New Roman"/>
          <w:sz w:val="20"/>
          <w:szCs w:val="20"/>
        </w:rPr>
        <w:t xml:space="preserve">. </w:t>
      </w:r>
      <w:r w:rsidR="00397C4E">
        <w:rPr>
          <w:rFonts w:ascii="Verdana" w:hAnsi="Verdana" w:cs="Times New Roman"/>
          <w:sz w:val="20"/>
          <w:szCs w:val="20"/>
        </w:rPr>
        <w:t xml:space="preserve">Same trend was </w:t>
      </w:r>
      <w:r w:rsidR="00CF762C">
        <w:rPr>
          <w:rFonts w:ascii="Verdana" w:hAnsi="Verdana" w:cs="Times New Roman"/>
          <w:sz w:val="20"/>
          <w:szCs w:val="20"/>
        </w:rPr>
        <w:t xml:space="preserve">followed </w:t>
      </w:r>
      <w:r w:rsidR="00397C4E">
        <w:rPr>
          <w:rFonts w:ascii="Verdana" w:hAnsi="Verdana" w:cs="Times New Roman"/>
          <w:sz w:val="20"/>
          <w:szCs w:val="20"/>
        </w:rPr>
        <w:t>in ‘Discovery’ orchard</w:t>
      </w:r>
      <w:r w:rsidR="00CF762C">
        <w:rPr>
          <w:rFonts w:ascii="Verdana" w:hAnsi="Verdana" w:cs="Times New Roman"/>
          <w:sz w:val="20"/>
          <w:szCs w:val="20"/>
        </w:rPr>
        <w:t xml:space="preserve"> in 2016</w:t>
      </w:r>
      <w:r w:rsidR="00397C4E">
        <w:rPr>
          <w:rFonts w:ascii="Verdana" w:hAnsi="Verdana" w:cs="Times New Roman"/>
          <w:sz w:val="20"/>
          <w:szCs w:val="20"/>
        </w:rPr>
        <w:t xml:space="preserve">, where </w:t>
      </w:r>
      <w:r w:rsidR="00CF762C">
        <w:rPr>
          <w:rFonts w:ascii="Verdana" w:hAnsi="Verdana" w:cs="Times New Roman"/>
          <w:sz w:val="20"/>
          <w:szCs w:val="20"/>
        </w:rPr>
        <w:t xml:space="preserve">most of the </w:t>
      </w:r>
      <w:r w:rsidR="00397C4E">
        <w:rPr>
          <w:rFonts w:ascii="Verdana" w:hAnsi="Verdana" w:cs="Times New Roman"/>
          <w:sz w:val="20"/>
          <w:szCs w:val="20"/>
        </w:rPr>
        <w:t xml:space="preserve">strong thinning </w:t>
      </w:r>
      <w:r w:rsidR="00CF762C">
        <w:rPr>
          <w:rFonts w:ascii="Verdana" w:hAnsi="Verdana" w:cs="Times New Roman"/>
          <w:sz w:val="20"/>
          <w:szCs w:val="20"/>
        </w:rPr>
        <w:t xml:space="preserve">replications </w:t>
      </w:r>
      <w:r w:rsidR="00397C4E">
        <w:rPr>
          <w:rFonts w:ascii="Verdana" w:hAnsi="Verdana" w:cs="Times New Roman"/>
          <w:sz w:val="20"/>
          <w:szCs w:val="20"/>
        </w:rPr>
        <w:t xml:space="preserve">had heavier apples compared to weak thinning. </w:t>
      </w:r>
      <w:r w:rsidR="00CF762C">
        <w:rPr>
          <w:rFonts w:ascii="Verdana" w:hAnsi="Verdana" w:cs="Times New Roman"/>
          <w:sz w:val="20"/>
          <w:szCs w:val="20"/>
        </w:rPr>
        <w:t xml:space="preserve">Thus, highest weight in ‘Discovery’ orchard was </w:t>
      </w:r>
      <w:r w:rsidR="00ED5484">
        <w:rPr>
          <w:rFonts w:ascii="Verdana" w:hAnsi="Verdana" w:cs="Times New Roman"/>
          <w:sz w:val="20"/>
          <w:szCs w:val="20"/>
        </w:rPr>
        <w:t xml:space="preserve">with </w:t>
      </w:r>
      <w:r w:rsidR="00CF762C">
        <w:rPr>
          <w:rFonts w:ascii="Verdana" w:hAnsi="Verdana" w:cs="Times New Roman"/>
          <w:sz w:val="20"/>
          <w:szCs w:val="20"/>
        </w:rPr>
        <w:t xml:space="preserve">Marihøne Pluss 30 kg </w:t>
      </w:r>
      <w:r w:rsidR="0086173E">
        <w:rPr>
          <w:rFonts w:ascii="Verdana" w:hAnsi="Verdana" w:cs="Times New Roman"/>
          <w:sz w:val="20"/>
          <w:szCs w:val="20"/>
        </w:rPr>
        <w:t xml:space="preserve">with </w:t>
      </w:r>
      <w:r w:rsidR="00ED5484">
        <w:rPr>
          <w:rFonts w:ascii="Verdana" w:hAnsi="Verdana" w:cs="Times New Roman"/>
          <w:sz w:val="20"/>
          <w:szCs w:val="20"/>
        </w:rPr>
        <w:t>strong thinning (152,4</w:t>
      </w:r>
      <w:r w:rsidR="00CF762C">
        <w:rPr>
          <w:rFonts w:ascii="Verdana" w:hAnsi="Verdana" w:cs="Times New Roman"/>
          <w:sz w:val="20"/>
          <w:szCs w:val="20"/>
        </w:rPr>
        <w:t xml:space="preserve"> g per fruit)</w:t>
      </w:r>
      <w:r w:rsidR="00ED5484">
        <w:rPr>
          <w:rFonts w:ascii="Verdana" w:hAnsi="Verdana" w:cs="Times New Roman"/>
          <w:sz w:val="20"/>
          <w:szCs w:val="20"/>
        </w:rPr>
        <w:t xml:space="preserve"> when compared to other weak thinning </w:t>
      </w:r>
      <w:r w:rsidR="0086173E">
        <w:rPr>
          <w:rFonts w:ascii="Verdana" w:hAnsi="Verdana" w:cs="Times New Roman"/>
          <w:sz w:val="20"/>
          <w:szCs w:val="20"/>
        </w:rPr>
        <w:t xml:space="preserve">results </w:t>
      </w:r>
      <w:r w:rsidR="00ED5484">
        <w:rPr>
          <w:rFonts w:ascii="Verdana" w:hAnsi="Verdana" w:cs="Times New Roman"/>
          <w:sz w:val="20"/>
          <w:szCs w:val="20"/>
        </w:rPr>
        <w:t xml:space="preserve">in the trial, except </w:t>
      </w:r>
      <w:r w:rsidR="0086173E">
        <w:rPr>
          <w:rFonts w:ascii="Verdana" w:hAnsi="Verdana" w:cs="Times New Roman"/>
          <w:sz w:val="20"/>
          <w:szCs w:val="20"/>
        </w:rPr>
        <w:t xml:space="preserve">with </w:t>
      </w:r>
      <w:proofErr w:type="spellStart"/>
      <w:r w:rsidR="00ED5484">
        <w:rPr>
          <w:rFonts w:ascii="Verdana" w:hAnsi="Verdana" w:cs="Times New Roman"/>
          <w:sz w:val="20"/>
          <w:szCs w:val="20"/>
        </w:rPr>
        <w:t>Pioner</w:t>
      </w:r>
      <w:proofErr w:type="spellEnd"/>
      <w:r w:rsidR="00ED5484">
        <w:rPr>
          <w:rFonts w:ascii="Verdana" w:hAnsi="Verdana" w:cs="Times New Roman"/>
          <w:sz w:val="20"/>
          <w:szCs w:val="20"/>
        </w:rPr>
        <w:t xml:space="preserve"> Hi Fruit 30 kg N/ha with weak thinning (139,3 g).</w:t>
      </w:r>
    </w:p>
    <w:p w14:paraId="3D059E9F" w14:textId="5DB712B8" w:rsidR="00337A5D" w:rsidRDefault="000001A5" w:rsidP="00203DCF">
      <w:pPr>
        <w:spacing w:line="240" w:lineRule="auto"/>
        <w:jc w:val="both"/>
        <w:rPr>
          <w:rFonts w:ascii="Verdana" w:hAnsi="Verdana" w:cs="Times New Roman"/>
          <w:bCs/>
          <w:sz w:val="20"/>
          <w:szCs w:val="20"/>
          <w:lang w:val="en-GB"/>
        </w:rPr>
      </w:pPr>
      <w:r>
        <w:rPr>
          <w:rFonts w:ascii="Verdana" w:hAnsi="Verdana" w:cs="Times New Roman"/>
          <w:sz w:val="20"/>
          <w:szCs w:val="20"/>
        </w:rPr>
        <w:t>I</w:t>
      </w:r>
      <w:r w:rsidRPr="000001A5">
        <w:rPr>
          <w:rFonts w:ascii="Verdana" w:hAnsi="Verdana" w:cs="Times New Roman"/>
          <w:sz w:val="20"/>
          <w:szCs w:val="20"/>
          <w:vertAlign w:val="subscript"/>
        </w:rPr>
        <w:t>AD</w:t>
      </w:r>
      <w:r>
        <w:rPr>
          <w:rFonts w:ascii="Verdana" w:hAnsi="Verdana" w:cs="Times New Roman"/>
          <w:sz w:val="20"/>
          <w:szCs w:val="20"/>
        </w:rPr>
        <w:t xml:space="preserve"> index was highest with the liquid fertilizer </w:t>
      </w:r>
      <w:proofErr w:type="spellStart"/>
      <w:r>
        <w:rPr>
          <w:rFonts w:ascii="Verdana" w:hAnsi="Verdana" w:cs="Times New Roman"/>
          <w:sz w:val="20"/>
          <w:szCs w:val="20"/>
        </w:rPr>
        <w:t>Pioner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Hi Fruit 60 kg N/ha</w:t>
      </w:r>
      <w:r w:rsidR="00337A5D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="00337A5D">
        <w:rPr>
          <w:rFonts w:ascii="Verdana" w:hAnsi="Verdana" w:cs="Times New Roman"/>
          <w:sz w:val="20"/>
          <w:szCs w:val="20"/>
        </w:rPr>
        <w:t>Pioner</w:t>
      </w:r>
      <w:proofErr w:type="spellEnd"/>
      <w:r w:rsidR="00337A5D">
        <w:rPr>
          <w:rFonts w:ascii="Verdana" w:hAnsi="Verdana" w:cs="Times New Roman"/>
          <w:sz w:val="20"/>
          <w:szCs w:val="20"/>
        </w:rPr>
        <w:t xml:space="preserve"> 60 in Table 1)</w:t>
      </w:r>
      <w:r>
        <w:rPr>
          <w:rFonts w:ascii="Verdana" w:hAnsi="Verdana" w:cs="Times New Roman"/>
          <w:sz w:val="20"/>
          <w:szCs w:val="20"/>
        </w:rPr>
        <w:t xml:space="preserve"> with both thinning types (I</w:t>
      </w:r>
      <w:r w:rsidRPr="000001A5">
        <w:rPr>
          <w:rFonts w:ascii="Verdana" w:hAnsi="Verdana" w:cs="Times New Roman"/>
          <w:sz w:val="20"/>
          <w:szCs w:val="20"/>
          <w:vertAlign w:val="subscript"/>
        </w:rPr>
        <w:t>AD</w:t>
      </w:r>
      <w:r>
        <w:rPr>
          <w:rFonts w:ascii="Verdana" w:hAnsi="Verdana" w:cs="Times New Roman"/>
          <w:sz w:val="20"/>
          <w:szCs w:val="20"/>
        </w:rPr>
        <w:t xml:space="preserve"> index 1</w:t>
      </w:r>
      <w:proofErr w:type="gramStart"/>
      <w:r>
        <w:rPr>
          <w:rFonts w:ascii="Verdana" w:hAnsi="Verdana" w:cs="Times New Roman"/>
          <w:sz w:val="20"/>
          <w:szCs w:val="20"/>
        </w:rPr>
        <w:t>,28</w:t>
      </w:r>
      <w:proofErr w:type="gramEnd"/>
      <w:r>
        <w:rPr>
          <w:rFonts w:ascii="Verdana" w:hAnsi="Verdana" w:cs="Times New Roman"/>
          <w:sz w:val="20"/>
          <w:szCs w:val="20"/>
        </w:rPr>
        <w:t xml:space="preserve"> for both) when compared to the control’s weak and strong thinning</w:t>
      </w:r>
      <w:r w:rsidR="00320CD5">
        <w:rPr>
          <w:rFonts w:ascii="Verdana" w:hAnsi="Verdana" w:cs="Times New Roman"/>
          <w:sz w:val="20"/>
          <w:szCs w:val="20"/>
        </w:rPr>
        <w:t xml:space="preserve"> results</w:t>
      </w:r>
      <w:r>
        <w:rPr>
          <w:rFonts w:ascii="Verdana" w:hAnsi="Verdana" w:cs="Times New Roman"/>
          <w:sz w:val="20"/>
          <w:szCs w:val="20"/>
        </w:rPr>
        <w:t xml:space="preserve"> (I</w:t>
      </w:r>
      <w:r w:rsidRPr="000001A5">
        <w:rPr>
          <w:rFonts w:ascii="Verdana" w:hAnsi="Verdana" w:cs="Times New Roman"/>
          <w:sz w:val="20"/>
          <w:szCs w:val="20"/>
          <w:vertAlign w:val="subscript"/>
        </w:rPr>
        <w:t>AD</w:t>
      </w:r>
      <w:r>
        <w:rPr>
          <w:rFonts w:ascii="Verdana" w:hAnsi="Verdana" w:cs="Times New Roman"/>
          <w:sz w:val="20"/>
          <w:szCs w:val="20"/>
        </w:rPr>
        <w:t xml:space="preserve"> index 1,0 and 0,90; respectively) in the ‘Aroma’ orchard in 2016</w:t>
      </w:r>
      <w:r w:rsidR="0070394B">
        <w:rPr>
          <w:rFonts w:ascii="Verdana" w:hAnsi="Verdana" w:cs="Times New Roman"/>
          <w:sz w:val="20"/>
          <w:szCs w:val="20"/>
        </w:rPr>
        <w:t xml:space="preserve"> (Table 1)</w:t>
      </w:r>
      <w:r w:rsidR="00320CD5">
        <w:rPr>
          <w:rFonts w:ascii="Verdana" w:hAnsi="Verdana" w:cs="Times New Roman"/>
          <w:sz w:val="20"/>
          <w:szCs w:val="20"/>
        </w:rPr>
        <w:t>.</w:t>
      </w:r>
      <w:r w:rsidR="00337A5D">
        <w:rPr>
          <w:rFonts w:ascii="Verdana" w:hAnsi="Verdana" w:cs="Times New Roman"/>
          <w:sz w:val="20"/>
          <w:szCs w:val="20"/>
        </w:rPr>
        <w:t xml:space="preserve"> </w:t>
      </w:r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Similar trend was observed with starch results where </w:t>
      </w:r>
      <w:proofErr w:type="spellStart"/>
      <w:r w:rsidR="00337A5D">
        <w:rPr>
          <w:rFonts w:ascii="Verdana" w:hAnsi="Verdana" w:cs="Times New Roman"/>
          <w:bCs/>
          <w:sz w:val="20"/>
          <w:szCs w:val="20"/>
          <w:lang w:val="en-GB"/>
        </w:rPr>
        <w:t>Pioner</w:t>
      </w:r>
      <w:proofErr w:type="spellEnd"/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 Hi fruit 60 kg N/ha strong thinning had significantly higher starch content (8</w:t>
      </w:r>
      <w:proofErr w:type="gramStart"/>
      <w:r w:rsidR="00337A5D">
        <w:rPr>
          <w:rFonts w:ascii="Verdana" w:hAnsi="Verdana" w:cs="Times New Roman"/>
          <w:bCs/>
          <w:sz w:val="20"/>
          <w:szCs w:val="20"/>
          <w:lang w:val="en-GB"/>
        </w:rPr>
        <w:t>,5</w:t>
      </w:r>
      <w:proofErr w:type="gramEnd"/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 in 1–9 scale) when compared to control’s weak thinning starch content (7,2 in 1–9 scale). </w:t>
      </w:r>
      <w:r w:rsidR="00337A5D">
        <w:rPr>
          <w:rFonts w:ascii="Verdana" w:hAnsi="Verdana" w:cs="Times New Roman"/>
          <w:sz w:val="20"/>
          <w:szCs w:val="20"/>
        </w:rPr>
        <w:t>Marihøne Pluss 3</w:t>
      </w:r>
      <w:r>
        <w:rPr>
          <w:rFonts w:ascii="Verdana" w:hAnsi="Verdana" w:cs="Times New Roman"/>
          <w:sz w:val="20"/>
          <w:szCs w:val="20"/>
        </w:rPr>
        <w:t xml:space="preserve">0 kg N/ha </w:t>
      </w:r>
      <w:r w:rsidR="00515982">
        <w:rPr>
          <w:rFonts w:ascii="Verdana" w:hAnsi="Verdana" w:cs="Times New Roman"/>
          <w:sz w:val="20"/>
          <w:szCs w:val="20"/>
        </w:rPr>
        <w:t xml:space="preserve">with </w:t>
      </w:r>
      <w:r>
        <w:rPr>
          <w:rFonts w:ascii="Verdana" w:hAnsi="Verdana" w:cs="Times New Roman"/>
          <w:sz w:val="20"/>
          <w:szCs w:val="20"/>
        </w:rPr>
        <w:t xml:space="preserve">strong thinning </w:t>
      </w:r>
      <w:r w:rsidR="00337A5D">
        <w:rPr>
          <w:rFonts w:ascii="Verdana" w:hAnsi="Verdana" w:cs="Times New Roman"/>
          <w:sz w:val="20"/>
          <w:szCs w:val="20"/>
        </w:rPr>
        <w:t xml:space="preserve">(Marihøne 30 strong in Table 1) </w:t>
      </w:r>
      <w:r w:rsidR="00320CD5">
        <w:rPr>
          <w:rFonts w:ascii="Verdana" w:hAnsi="Verdana" w:cs="Times New Roman"/>
          <w:bCs/>
          <w:sz w:val="20"/>
          <w:szCs w:val="20"/>
          <w:lang w:val="en-GB"/>
        </w:rPr>
        <w:t>had firmer apples</w:t>
      </w:r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 (6</w:t>
      </w:r>
      <w:proofErr w:type="gramStart"/>
      <w:r w:rsidR="00337A5D">
        <w:rPr>
          <w:rFonts w:ascii="Verdana" w:hAnsi="Verdana" w:cs="Times New Roman"/>
          <w:bCs/>
          <w:sz w:val="20"/>
          <w:szCs w:val="20"/>
          <w:lang w:val="en-GB"/>
        </w:rPr>
        <w:t>,21</w:t>
      </w:r>
      <w:proofErr w:type="gramEnd"/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 kg.cm</w:t>
      </w:r>
      <w:r w:rsidR="00337A5D" w:rsidRPr="005205F9">
        <w:rPr>
          <w:rFonts w:ascii="Verdana" w:hAnsi="Verdana" w:cs="Times New Roman"/>
          <w:bCs/>
          <w:sz w:val="20"/>
          <w:szCs w:val="20"/>
          <w:vertAlign w:val="superscript"/>
          <w:lang w:val="en-GB"/>
        </w:rPr>
        <w:t>-2</w:t>
      </w:r>
      <w:r w:rsidR="00337A5D">
        <w:rPr>
          <w:rFonts w:ascii="Verdana" w:hAnsi="Verdana" w:cs="Times New Roman"/>
          <w:bCs/>
          <w:sz w:val="20"/>
          <w:szCs w:val="20"/>
          <w:lang w:val="en-GB"/>
        </w:rPr>
        <w:t>)</w:t>
      </w:r>
      <w:r w:rsidR="00320CD5">
        <w:rPr>
          <w:rFonts w:ascii="Verdana" w:hAnsi="Verdana" w:cs="Times New Roman"/>
          <w:bCs/>
          <w:sz w:val="20"/>
          <w:szCs w:val="20"/>
          <w:lang w:val="en-GB"/>
        </w:rPr>
        <w:t xml:space="preserve"> when compared to control’s </w:t>
      </w:r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strong </w:t>
      </w:r>
      <w:r w:rsidR="00320CD5">
        <w:rPr>
          <w:rFonts w:ascii="Verdana" w:hAnsi="Verdana" w:cs="Times New Roman"/>
          <w:bCs/>
          <w:sz w:val="20"/>
          <w:szCs w:val="20"/>
          <w:lang w:val="en-GB"/>
        </w:rPr>
        <w:t>thinning</w:t>
      </w:r>
      <w:r w:rsidR="0086173E">
        <w:rPr>
          <w:rFonts w:ascii="Verdana" w:hAnsi="Verdana" w:cs="Times New Roman"/>
          <w:bCs/>
          <w:sz w:val="20"/>
          <w:szCs w:val="20"/>
          <w:lang w:val="en-GB"/>
        </w:rPr>
        <w:t xml:space="preserve"> </w:t>
      </w:r>
      <w:r w:rsidR="00337A5D">
        <w:rPr>
          <w:rFonts w:ascii="Verdana" w:hAnsi="Verdana" w:cs="Times New Roman"/>
          <w:bCs/>
          <w:sz w:val="20"/>
          <w:szCs w:val="20"/>
          <w:lang w:val="en-GB"/>
        </w:rPr>
        <w:t>(5.55</w:t>
      </w:r>
      <w:r w:rsidR="00320CD5">
        <w:rPr>
          <w:rFonts w:ascii="Verdana" w:hAnsi="Verdana" w:cs="Times New Roman"/>
          <w:bCs/>
          <w:sz w:val="20"/>
          <w:szCs w:val="20"/>
          <w:lang w:val="en-GB"/>
        </w:rPr>
        <w:t xml:space="preserve"> kg.cm</w:t>
      </w:r>
      <w:r w:rsidR="00320CD5" w:rsidRPr="005205F9">
        <w:rPr>
          <w:rFonts w:ascii="Verdana" w:hAnsi="Verdana" w:cs="Times New Roman"/>
          <w:bCs/>
          <w:sz w:val="20"/>
          <w:szCs w:val="20"/>
          <w:vertAlign w:val="superscript"/>
          <w:lang w:val="en-GB"/>
        </w:rPr>
        <w:t>-2</w:t>
      </w:r>
      <w:r w:rsidR="00320CD5">
        <w:rPr>
          <w:rFonts w:ascii="Verdana" w:hAnsi="Verdana" w:cs="Times New Roman"/>
          <w:bCs/>
          <w:sz w:val="20"/>
          <w:szCs w:val="20"/>
          <w:lang w:val="en-GB"/>
        </w:rPr>
        <w:t>)</w:t>
      </w:r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 and to </w:t>
      </w:r>
      <w:proofErr w:type="spellStart"/>
      <w:r w:rsidR="00337A5D">
        <w:rPr>
          <w:rFonts w:ascii="Verdana" w:hAnsi="Verdana" w:cs="Times New Roman"/>
          <w:bCs/>
          <w:sz w:val="20"/>
          <w:szCs w:val="20"/>
          <w:lang w:val="en-GB"/>
        </w:rPr>
        <w:t>Pioner</w:t>
      </w:r>
      <w:proofErr w:type="spellEnd"/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 Hi Fruit 30 kg N/ha  (5.67</w:t>
      </w:r>
      <w:r w:rsidR="00337A5D" w:rsidRPr="00337A5D">
        <w:rPr>
          <w:rFonts w:ascii="Verdana" w:hAnsi="Verdana" w:cs="Times New Roman"/>
          <w:bCs/>
          <w:sz w:val="20"/>
          <w:szCs w:val="20"/>
          <w:lang w:val="en-GB"/>
        </w:rPr>
        <w:t xml:space="preserve"> </w:t>
      </w:r>
      <w:r w:rsidR="00337A5D">
        <w:rPr>
          <w:rFonts w:ascii="Verdana" w:hAnsi="Verdana" w:cs="Times New Roman"/>
          <w:bCs/>
          <w:sz w:val="20"/>
          <w:szCs w:val="20"/>
          <w:lang w:val="en-GB"/>
        </w:rPr>
        <w:t>kg.cm</w:t>
      </w:r>
      <w:r w:rsidR="00337A5D" w:rsidRPr="005205F9">
        <w:rPr>
          <w:rFonts w:ascii="Verdana" w:hAnsi="Verdana" w:cs="Times New Roman"/>
          <w:bCs/>
          <w:sz w:val="20"/>
          <w:szCs w:val="20"/>
          <w:vertAlign w:val="superscript"/>
          <w:lang w:val="en-GB"/>
        </w:rPr>
        <w:t>-2</w:t>
      </w:r>
      <w:r w:rsidR="00337A5D" w:rsidRPr="00337A5D">
        <w:rPr>
          <w:rFonts w:ascii="Verdana" w:hAnsi="Verdana" w:cs="Times New Roman"/>
          <w:bCs/>
          <w:sz w:val="20"/>
          <w:szCs w:val="20"/>
          <w:lang w:val="en-GB"/>
        </w:rPr>
        <w:t>)</w:t>
      </w:r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 (</w:t>
      </w:r>
      <w:proofErr w:type="spellStart"/>
      <w:r w:rsidR="00337A5D">
        <w:rPr>
          <w:rFonts w:ascii="Verdana" w:hAnsi="Verdana" w:cs="Times New Roman"/>
          <w:bCs/>
          <w:sz w:val="20"/>
          <w:szCs w:val="20"/>
          <w:lang w:val="en-GB"/>
        </w:rPr>
        <w:t>Pioner</w:t>
      </w:r>
      <w:proofErr w:type="spellEnd"/>
      <w:r w:rsidR="00337A5D">
        <w:rPr>
          <w:rFonts w:ascii="Verdana" w:hAnsi="Verdana" w:cs="Times New Roman"/>
          <w:bCs/>
          <w:sz w:val="20"/>
          <w:szCs w:val="20"/>
          <w:lang w:val="en-GB"/>
        </w:rPr>
        <w:t xml:space="preserve"> 30 strong in Table 1)</w:t>
      </w:r>
      <w:r w:rsidR="001F5A48">
        <w:rPr>
          <w:rFonts w:ascii="Verdana" w:hAnsi="Verdana" w:cs="Times New Roman"/>
          <w:bCs/>
          <w:sz w:val="20"/>
          <w:szCs w:val="20"/>
          <w:lang w:val="en-GB"/>
        </w:rPr>
        <w:t>.</w:t>
      </w:r>
      <w:r w:rsidR="00320CD5">
        <w:rPr>
          <w:rFonts w:ascii="Verdana" w:hAnsi="Verdana" w:cs="Times New Roman"/>
          <w:bCs/>
          <w:sz w:val="20"/>
          <w:szCs w:val="20"/>
          <w:lang w:val="en-GB"/>
        </w:rPr>
        <w:t xml:space="preserve"> There </w:t>
      </w:r>
      <w:r w:rsidR="00320CD5">
        <w:rPr>
          <w:rFonts w:ascii="Verdana" w:hAnsi="Verdana" w:cs="Times New Roman"/>
          <w:bCs/>
          <w:sz w:val="20"/>
          <w:szCs w:val="20"/>
          <w:lang w:val="en-GB"/>
        </w:rPr>
        <w:lastRenderedPageBreak/>
        <w:t>was no significant difference in soluble solid content (SSC) between the fertigation t</w:t>
      </w:r>
      <w:r w:rsidR="0086173E">
        <w:rPr>
          <w:rFonts w:ascii="Verdana" w:hAnsi="Verdana" w:cs="Times New Roman"/>
          <w:bCs/>
          <w:sz w:val="20"/>
          <w:szCs w:val="20"/>
          <w:lang w:val="en-GB"/>
        </w:rPr>
        <w:t>ypes neither with thinning</w:t>
      </w:r>
      <w:r w:rsidR="00320CD5">
        <w:rPr>
          <w:rFonts w:ascii="Verdana" w:hAnsi="Verdana" w:cs="Times New Roman"/>
          <w:bCs/>
          <w:sz w:val="20"/>
          <w:szCs w:val="20"/>
          <w:lang w:val="en-GB"/>
        </w:rPr>
        <w:t>. Although, there was higher titratable acid (TA) with Marihøne Pluss 60 kg N/ha (1</w:t>
      </w:r>
      <w:proofErr w:type="gramStart"/>
      <w:r w:rsidR="00320CD5">
        <w:rPr>
          <w:rFonts w:ascii="Verdana" w:hAnsi="Verdana" w:cs="Times New Roman"/>
          <w:bCs/>
          <w:sz w:val="20"/>
          <w:szCs w:val="20"/>
          <w:lang w:val="en-GB"/>
        </w:rPr>
        <w:t>,02</w:t>
      </w:r>
      <w:proofErr w:type="gramEnd"/>
      <w:r w:rsidR="00320CD5">
        <w:rPr>
          <w:rFonts w:ascii="Verdana" w:hAnsi="Verdana" w:cs="Times New Roman"/>
          <w:bCs/>
          <w:sz w:val="20"/>
          <w:szCs w:val="20"/>
          <w:lang w:val="en-GB"/>
        </w:rPr>
        <w:t>) when compared to control’s weak thinning results (0,82%).</w:t>
      </w:r>
      <w:r w:rsidR="00515982">
        <w:rPr>
          <w:rFonts w:ascii="Verdana" w:hAnsi="Verdana" w:cs="Times New Roman"/>
          <w:bCs/>
          <w:sz w:val="20"/>
          <w:szCs w:val="20"/>
          <w:lang w:val="en-GB"/>
        </w:rPr>
        <w:t xml:space="preserve"> I</w:t>
      </w:r>
      <w:r w:rsidR="00515982" w:rsidRPr="00515982">
        <w:rPr>
          <w:rFonts w:ascii="Verdana" w:hAnsi="Verdana" w:cs="Times New Roman"/>
          <w:bCs/>
          <w:sz w:val="20"/>
          <w:szCs w:val="20"/>
          <w:vertAlign w:val="subscript"/>
          <w:lang w:val="en-GB"/>
        </w:rPr>
        <w:t>AD</w:t>
      </w:r>
      <w:r w:rsidR="00515982">
        <w:rPr>
          <w:rFonts w:ascii="Verdana" w:hAnsi="Verdana" w:cs="Times New Roman"/>
          <w:bCs/>
          <w:sz w:val="20"/>
          <w:szCs w:val="20"/>
          <w:lang w:val="en-GB"/>
        </w:rPr>
        <w:t xml:space="preserve"> index and starch content concludes that </w:t>
      </w:r>
      <w:proofErr w:type="spellStart"/>
      <w:r w:rsidR="00515982">
        <w:rPr>
          <w:rFonts w:ascii="Verdana" w:hAnsi="Verdana" w:cs="Times New Roman"/>
          <w:bCs/>
          <w:sz w:val="20"/>
          <w:szCs w:val="20"/>
          <w:lang w:val="en-GB"/>
        </w:rPr>
        <w:t>Pioner</w:t>
      </w:r>
      <w:proofErr w:type="spellEnd"/>
      <w:r w:rsidR="00515982">
        <w:rPr>
          <w:rFonts w:ascii="Verdana" w:hAnsi="Verdana" w:cs="Times New Roman"/>
          <w:bCs/>
          <w:sz w:val="20"/>
          <w:szCs w:val="20"/>
          <w:lang w:val="en-GB"/>
        </w:rPr>
        <w:t xml:space="preserve"> Hi Fruit 60 kg/ha apples </w:t>
      </w:r>
      <w:r w:rsidR="001F5A48">
        <w:rPr>
          <w:rFonts w:ascii="Verdana" w:hAnsi="Verdana" w:cs="Times New Roman"/>
          <w:bCs/>
          <w:sz w:val="20"/>
          <w:szCs w:val="20"/>
          <w:lang w:val="en-GB"/>
        </w:rPr>
        <w:t xml:space="preserve">were less </w:t>
      </w:r>
      <w:proofErr w:type="gramStart"/>
      <w:r w:rsidR="001F5A48">
        <w:rPr>
          <w:rFonts w:ascii="Verdana" w:hAnsi="Verdana" w:cs="Times New Roman"/>
          <w:bCs/>
          <w:sz w:val="20"/>
          <w:szCs w:val="20"/>
          <w:lang w:val="en-GB"/>
        </w:rPr>
        <w:t>ripen</w:t>
      </w:r>
      <w:proofErr w:type="gramEnd"/>
      <w:r w:rsidR="001F5A48">
        <w:rPr>
          <w:rFonts w:ascii="Verdana" w:hAnsi="Verdana" w:cs="Times New Roman"/>
          <w:bCs/>
          <w:sz w:val="20"/>
          <w:szCs w:val="20"/>
          <w:lang w:val="en-GB"/>
        </w:rPr>
        <w:t xml:space="preserve"> </w:t>
      </w:r>
      <w:r w:rsidR="00515982">
        <w:rPr>
          <w:rFonts w:ascii="Verdana" w:hAnsi="Verdana" w:cs="Times New Roman"/>
          <w:bCs/>
          <w:sz w:val="20"/>
          <w:szCs w:val="20"/>
          <w:lang w:val="en-GB"/>
        </w:rPr>
        <w:t>compared to the control.</w:t>
      </w:r>
    </w:p>
    <w:p w14:paraId="29231FDF" w14:textId="77777777" w:rsidR="00337A5D" w:rsidRPr="00522E80" w:rsidRDefault="00337A5D" w:rsidP="00203DCF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  <w:lang w:val="en-GB"/>
        </w:rPr>
        <w:t>Table 1. Effect of different fertigation types and thinning methods on cultivar ‘Aroma’ quality parameters (2016).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46"/>
        <w:gridCol w:w="1510"/>
        <w:gridCol w:w="1511"/>
        <w:gridCol w:w="1511"/>
      </w:tblGrid>
      <w:tr w:rsidR="00337A5D" w:rsidRPr="00203DCF" w14:paraId="70072A45" w14:textId="77777777" w:rsidTr="00AA3C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8A8886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A466B4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I</w:t>
            </w:r>
            <w:r w:rsidRPr="00203DCF">
              <w:rPr>
                <w:rFonts w:ascii="Verdana" w:hAnsi="Verdana" w:cs="Times New Roman"/>
                <w:sz w:val="18"/>
                <w:szCs w:val="18"/>
                <w:vertAlign w:val="subscript"/>
              </w:rPr>
              <w:t>AD</w:t>
            </w: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 index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204E20E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Starch </w:t>
            </w:r>
          </w:p>
          <w:p w14:paraId="306104AF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(1-9 scale)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14FD8000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Firmness (kg.cm</w:t>
            </w:r>
            <w:r w:rsidRPr="00203DCF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  <w:r w:rsidRPr="00203DCF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5C242BFB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SSC</w:t>
            </w:r>
          </w:p>
          <w:p w14:paraId="72B82DEC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(% °Brix)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1EC6AC99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TA</w:t>
            </w:r>
          </w:p>
          <w:p w14:paraId="46D838C8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(%)</w:t>
            </w:r>
          </w:p>
        </w:tc>
      </w:tr>
      <w:tr w:rsidR="00337A5D" w:rsidRPr="00203DCF" w14:paraId="44F3B75E" w14:textId="77777777" w:rsidTr="00AA3C38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</w:tcBorders>
          </w:tcPr>
          <w:p w14:paraId="5DED7C32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Control weak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C26FFD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1.00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04F3759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7.20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bcd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4A0AFD51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6.15 ab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22A4D7CE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12.93 a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28F7C956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0.94 ab</w:t>
            </w:r>
          </w:p>
        </w:tc>
      </w:tr>
      <w:tr w:rsidR="00337A5D" w:rsidRPr="00203DCF" w14:paraId="3491FC20" w14:textId="77777777" w:rsidTr="00AA3C38">
        <w:trPr>
          <w:trHeight w:hRule="exact" w:val="284"/>
        </w:trPr>
        <w:tc>
          <w:tcPr>
            <w:tcW w:w="2268" w:type="dxa"/>
          </w:tcPr>
          <w:p w14:paraId="54CE63CB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Control strong</w:t>
            </w:r>
          </w:p>
        </w:tc>
        <w:tc>
          <w:tcPr>
            <w:tcW w:w="1134" w:type="dxa"/>
          </w:tcPr>
          <w:p w14:paraId="0CD74A00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0.90 c</w:t>
            </w:r>
          </w:p>
        </w:tc>
        <w:tc>
          <w:tcPr>
            <w:tcW w:w="1246" w:type="dxa"/>
          </w:tcPr>
          <w:p w14:paraId="3A3EA104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8.05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1510" w:type="dxa"/>
          </w:tcPr>
          <w:p w14:paraId="0FB3E714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5.55 b</w:t>
            </w:r>
          </w:p>
        </w:tc>
        <w:tc>
          <w:tcPr>
            <w:tcW w:w="1511" w:type="dxa"/>
          </w:tcPr>
          <w:p w14:paraId="03B4AED4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12.63 a</w:t>
            </w:r>
          </w:p>
        </w:tc>
        <w:tc>
          <w:tcPr>
            <w:tcW w:w="1511" w:type="dxa"/>
          </w:tcPr>
          <w:p w14:paraId="45A3B635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0.82 b</w:t>
            </w:r>
          </w:p>
        </w:tc>
      </w:tr>
      <w:tr w:rsidR="00337A5D" w:rsidRPr="00203DCF" w14:paraId="0E6446D9" w14:textId="77777777" w:rsidTr="00AA3C38">
        <w:trPr>
          <w:trHeight w:hRule="exact" w:val="284"/>
        </w:trPr>
        <w:tc>
          <w:tcPr>
            <w:tcW w:w="2268" w:type="dxa"/>
          </w:tcPr>
          <w:p w14:paraId="5F822E8A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Marihøne 30 weak</w:t>
            </w:r>
          </w:p>
        </w:tc>
        <w:tc>
          <w:tcPr>
            <w:tcW w:w="1134" w:type="dxa"/>
          </w:tcPr>
          <w:p w14:paraId="204058F3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1.05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1246" w:type="dxa"/>
          </w:tcPr>
          <w:p w14:paraId="5FA11C92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7.58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1510" w:type="dxa"/>
          </w:tcPr>
          <w:p w14:paraId="42D1F304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6.21 a</w:t>
            </w:r>
          </w:p>
        </w:tc>
        <w:tc>
          <w:tcPr>
            <w:tcW w:w="1511" w:type="dxa"/>
          </w:tcPr>
          <w:p w14:paraId="0B64C276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12.83 a</w:t>
            </w:r>
          </w:p>
        </w:tc>
        <w:tc>
          <w:tcPr>
            <w:tcW w:w="1511" w:type="dxa"/>
          </w:tcPr>
          <w:p w14:paraId="3384F2D3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0.94 ab</w:t>
            </w:r>
          </w:p>
        </w:tc>
      </w:tr>
      <w:tr w:rsidR="00337A5D" w:rsidRPr="00203DCF" w14:paraId="3DF8E31E" w14:textId="77777777" w:rsidTr="00AA3C38">
        <w:trPr>
          <w:trHeight w:hRule="exact" w:val="284"/>
        </w:trPr>
        <w:tc>
          <w:tcPr>
            <w:tcW w:w="2268" w:type="dxa"/>
          </w:tcPr>
          <w:p w14:paraId="37FE9D2B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Marihøne 30 strong</w:t>
            </w:r>
          </w:p>
        </w:tc>
        <w:tc>
          <w:tcPr>
            <w:tcW w:w="1134" w:type="dxa"/>
          </w:tcPr>
          <w:p w14:paraId="3DE04626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1.03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1246" w:type="dxa"/>
          </w:tcPr>
          <w:p w14:paraId="5FEFFD3D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7.35 cd</w:t>
            </w:r>
          </w:p>
        </w:tc>
        <w:tc>
          <w:tcPr>
            <w:tcW w:w="1510" w:type="dxa"/>
          </w:tcPr>
          <w:p w14:paraId="14D2FA69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5.87 ab</w:t>
            </w:r>
          </w:p>
        </w:tc>
        <w:tc>
          <w:tcPr>
            <w:tcW w:w="1511" w:type="dxa"/>
          </w:tcPr>
          <w:p w14:paraId="7CDD3B2C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13.25 a</w:t>
            </w:r>
          </w:p>
        </w:tc>
        <w:tc>
          <w:tcPr>
            <w:tcW w:w="1511" w:type="dxa"/>
          </w:tcPr>
          <w:p w14:paraId="4E340D8E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0.91 ab</w:t>
            </w:r>
          </w:p>
        </w:tc>
      </w:tr>
      <w:tr w:rsidR="00337A5D" w:rsidRPr="00203DCF" w14:paraId="695C1680" w14:textId="77777777" w:rsidTr="00AA3C38">
        <w:trPr>
          <w:trHeight w:hRule="exact" w:val="284"/>
        </w:trPr>
        <w:tc>
          <w:tcPr>
            <w:tcW w:w="2268" w:type="dxa"/>
          </w:tcPr>
          <w:p w14:paraId="102DCA45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Marihøne 60 weak</w:t>
            </w:r>
          </w:p>
        </w:tc>
        <w:tc>
          <w:tcPr>
            <w:tcW w:w="1134" w:type="dxa"/>
          </w:tcPr>
          <w:p w14:paraId="47B580C6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1.12 b</w:t>
            </w:r>
          </w:p>
        </w:tc>
        <w:tc>
          <w:tcPr>
            <w:tcW w:w="1246" w:type="dxa"/>
          </w:tcPr>
          <w:p w14:paraId="1919FF41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8.05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1510" w:type="dxa"/>
          </w:tcPr>
          <w:p w14:paraId="1562137E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5.88 ab</w:t>
            </w:r>
          </w:p>
        </w:tc>
        <w:tc>
          <w:tcPr>
            <w:tcW w:w="1511" w:type="dxa"/>
          </w:tcPr>
          <w:p w14:paraId="6E92890F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12.56 a</w:t>
            </w:r>
          </w:p>
        </w:tc>
        <w:tc>
          <w:tcPr>
            <w:tcW w:w="1511" w:type="dxa"/>
          </w:tcPr>
          <w:p w14:paraId="06A0FED0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0.88 ab</w:t>
            </w:r>
          </w:p>
        </w:tc>
      </w:tr>
      <w:tr w:rsidR="00337A5D" w:rsidRPr="00203DCF" w14:paraId="2B0C4238" w14:textId="77777777" w:rsidTr="00AA3C38">
        <w:trPr>
          <w:trHeight w:hRule="exact" w:val="284"/>
        </w:trPr>
        <w:tc>
          <w:tcPr>
            <w:tcW w:w="2268" w:type="dxa"/>
          </w:tcPr>
          <w:p w14:paraId="0CD81B66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Marihøne 60 strong</w:t>
            </w:r>
          </w:p>
        </w:tc>
        <w:tc>
          <w:tcPr>
            <w:tcW w:w="1134" w:type="dxa"/>
          </w:tcPr>
          <w:p w14:paraId="599FC4EF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1.17 ab</w:t>
            </w:r>
          </w:p>
        </w:tc>
        <w:tc>
          <w:tcPr>
            <w:tcW w:w="1246" w:type="dxa"/>
          </w:tcPr>
          <w:p w14:paraId="6152FD75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7.26 d</w:t>
            </w:r>
          </w:p>
        </w:tc>
        <w:tc>
          <w:tcPr>
            <w:tcW w:w="1510" w:type="dxa"/>
          </w:tcPr>
          <w:p w14:paraId="47D25C47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5.89 ab</w:t>
            </w:r>
          </w:p>
        </w:tc>
        <w:tc>
          <w:tcPr>
            <w:tcW w:w="1511" w:type="dxa"/>
          </w:tcPr>
          <w:p w14:paraId="6C2AE369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13.08 a</w:t>
            </w:r>
          </w:p>
        </w:tc>
        <w:tc>
          <w:tcPr>
            <w:tcW w:w="1511" w:type="dxa"/>
          </w:tcPr>
          <w:p w14:paraId="44632842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1.02 a</w:t>
            </w:r>
          </w:p>
        </w:tc>
      </w:tr>
      <w:tr w:rsidR="00337A5D" w:rsidRPr="00203DCF" w14:paraId="68536421" w14:textId="77777777" w:rsidTr="00AA3C38">
        <w:trPr>
          <w:trHeight w:hRule="exact" w:val="284"/>
        </w:trPr>
        <w:tc>
          <w:tcPr>
            <w:tcW w:w="2268" w:type="dxa"/>
          </w:tcPr>
          <w:p w14:paraId="10553ACF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Pioner</w:t>
            </w:r>
            <w:proofErr w:type="spellEnd"/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 30 weak</w:t>
            </w:r>
          </w:p>
        </w:tc>
        <w:tc>
          <w:tcPr>
            <w:tcW w:w="1134" w:type="dxa"/>
          </w:tcPr>
          <w:p w14:paraId="30BDD039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1.14 ab</w:t>
            </w:r>
          </w:p>
        </w:tc>
        <w:tc>
          <w:tcPr>
            <w:tcW w:w="1246" w:type="dxa"/>
          </w:tcPr>
          <w:p w14:paraId="7CE9D6F2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8.13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1510" w:type="dxa"/>
          </w:tcPr>
          <w:p w14:paraId="31E8039E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5.86 ab</w:t>
            </w:r>
          </w:p>
        </w:tc>
        <w:tc>
          <w:tcPr>
            <w:tcW w:w="1511" w:type="dxa"/>
          </w:tcPr>
          <w:p w14:paraId="2CDF880F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12.98 a</w:t>
            </w:r>
          </w:p>
        </w:tc>
        <w:tc>
          <w:tcPr>
            <w:tcW w:w="1511" w:type="dxa"/>
          </w:tcPr>
          <w:p w14:paraId="1673821E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0.92 ab</w:t>
            </w:r>
          </w:p>
        </w:tc>
      </w:tr>
      <w:tr w:rsidR="00337A5D" w:rsidRPr="00203DCF" w14:paraId="64C3CDA1" w14:textId="77777777" w:rsidTr="00AA3C38">
        <w:trPr>
          <w:trHeight w:hRule="exact" w:val="284"/>
        </w:trPr>
        <w:tc>
          <w:tcPr>
            <w:tcW w:w="2268" w:type="dxa"/>
          </w:tcPr>
          <w:p w14:paraId="62353EC5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Pioner</w:t>
            </w:r>
            <w:proofErr w:type="spellEnd"/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 30 strong</w:t>
            </w:r>
          </w:p>
        </w:tc>
        <w:tc>
          <w:tcPr>
            <w:tcW w:w="1134" w:type="dxa"/>
          </w:tcPr>
          <w:p w14:paraId="2FB60447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1.12 b</w:t>
            </w:r>
          </w:p>
        </w:tc>
        <w:tc>
          <w:tcPr>
            <w:tcW w:w="1246" w:type="dxa"/>
          </w:tcPr>
          <w:p w14:paraId="74CEE32B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8.20 </w:t>
            </w: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abc</w:t>
            </w:r>
            <w:proofErr w:type="spellEnd"/>
          </w:p>
        </w:tc>
        <w:tc>
          <w:tcPr>
            <w:tcW w:w="1510" w:type="dxa"/>
          </w:tcPr>
          <w:p w14:paraId="3FEDDE7C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5.67 b</w:t>
            </w:r>
          </w:p>
        </w:tc>
        <w:tc>
          <w:tcPr>
            <w:tcW w:w="1511" w:type="dxa"/>
          </w:tcPr>
          <w:p w14:paraId="237D0A40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12.38 a</w:t>
            </w:r>
          </w:p>
        </w:tc>
        <w:tc>
          <w:tcPr>
            <w:tcW w:w="1511" w:type="dxa"/>
          </w:tcPr>
          <w:p w14:paraId="0EFEEC81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0.93 ab</w:t>
            </w:r>
          </w:p>
        </w:tc>
      </w:tr>
      <w:tr w:rsidR="00337A5D" w:rsidRPr="00203DCF" w14:paraId="7DADE401" w14:textId="77777777" w:rsidTr="00AA3C38">
        <w:trPr>
          <w:trHeight w:hRule="exact" w:val="284"/>
        </w:trPr>
        <w:tc>
          <w:tcPr>
            <w:tcW w:w="2268" w:type="dxa"/>
          </w:tcPr>
          <w:p w14:paraId="46B47F3E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Pioner</w:t>
            </w:r>
            <w:proofErr w:type="spellEnd"/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 60 weak</w:t>
            </w:r>
          </w:p>
        </w:tc>
        <w:tc>
          <w:tcPr>
            <w:tcW w:w="1134" w:type="dxa"/>
          </w:tcPr>
          <w:p w14:paraId="15823AA1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1.27 a</w:t>
            </w:r>
          </w:p>
        </w:tc>
        <w:tc>
          <w:tcPr>
            <w:tcW w:w="1246" w:type="dxa"/>
          </w:tcPr>
          <w:p w14:paraId="400FE271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8.36 ab</w:t>
            </w:r>
          </w:p>
        </w:tc>
        <w:tc>
          <w:tcPr>
            <w:tcW w:w="1510" w:type="dxa"/>
          </w:tcPr>
          <w:p w14:paraId="3C6EEC7B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5.86 ab</w:t>
            </w:r>
          </w:p>
        </w:tc>
        <w:tc>
          <w:tcPr>
            <w:tcW w:w="1511" w:type="dxa"/>
          </w:tcPr>
          <w:p w14:paraId="067305F3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12.70 a</w:t>
            </w:r>
          </w:p>
        </w:tc>
        <w:tc>
          <w:tcPr>
            <w:tcW w:w="1511" w:type="dxa"/>
          </w:tcPr>
          <w:p w14:paraId="05B7F7E6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0.99 ab</w:t>
            </w:r>
          </w:p>
        </w:tc>
      </w:tr>
      <w:tr w:rsidR="00337A5D" w:rsidRPr="00203DCF" w14:paraId="7CEF8A0B" w14:textId="77777777" w:rsidTr="00AA3C38">
        <w:trPr>
          <w:trHeight w:hRule="exact" w:val="284"/>
        </w:trPr>
        <w:tc>
          <w:tcPr>
            <w:tcW w:w="2268" w:type="dxa"/>
            <w:tcBorders>
              <w:bottom w:val="single" w:sz="4" w:space="0" w:color="auto"/>
            </w:tcBorders>
          </w:tcPr>
          <w:p w14:paraId="1310F613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03DCF">
              <w:rPr>
                <w:rFonts w:ascii="Verdana" w:hAnsi="Verdana" w:cs="Times New Roman"/>
                <w:sz w:val="18"/>
                <w:szCs w:val="18"/>
              </w:rPr>
              <w:t>Pioner</w:t>
            </w:r>
            <w:proofErr w:type="spellEnd"/>
            <w:r w:rsidRPr="00203DCF">
              <w:rPr>
                <w:rFonts w:ascii="Verdana" w:hAnsi="Verdana" w:cs="Times New Roman"/>
                <w:sz w:val="18"/>
                <w:szCs w:val="18"/>
              </w:rPr>
              <w:t xml:space="preserve"> 60 strong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BCE630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1.28 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5D76427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8.49 a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32A0627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5.84 ab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E3B0C24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12.42 a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A4D923A" w14:textId="77777777" w:rsidR="00337A5D" w:rsidRPr="00203DCF" w:rsidRDefault="00337A5D" w:rsidP="00203D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03DCF">
              <w:rPr>
                <w:rFonts w:ascii="Verdana" w:hAnsi="Verdana" w:cs="Times New Roman"/>
                <w:sz w:val="18"/>
                <w:szCs w:val="18"/>
              </w:rPr>
              <w:t>0.90 ab</w:t>
            </w:r>
          </w:p>
        </w:tc>
      </w:tr>
    </w:tbl>
    <w:p w14:paraId="78AB372F" w14:textId="70F0ADC7" w:rsidR="00337A5D" w:rsidRPr="00337A5D" w:rsidRDefault="00337A5D" w:rsidP="00203DCF">
      <w:pPr>
        <w:spacing w:line="240" w:lineRule="auto"/>
        <w:jc w:val="both"/>
        <w:rPr>
          <w:rFonts w:ascii="Verdana" w:hAnsi="Verdana" w:cs="Times New Roman"/>
          <w:bCs/>
          <w:sz w:val="18"/>
          <w:szCs w:val="18"/>
        </w:rPr>
      </w:pPr>
      <w:r w:rsidRPr="0070394B">
        <w:rPr>
          <w:rFonts w:ascii="Verdana" w:hAnsi="Verdana" w:cs="Times New Roman"/>
          <w:bCs/>
          <w:sz w:val="18"/>
          <w:szCs w:val="18"/>
        </w:rPr>
        <w:t>Means followed by different letters within the same column are significantly different at p&lt;0.05.</w:t>
      </w:r>
      <w:r>
        <w:rPr>
          <w:rFonts w:ascii="Verdana" w:hAnsi="Verdana" w:cs="Times New Roman"/>
          <w:bCs/>
          <w:sz w:val="18"/>
          <w:szCs w:val="18"/>
        </w:rPr>
        <w:t xml:space="preserve">  </w:t>
      </w:r>
    </w:p>
    <w:p w14:paraId="121DD30D" w14:textId="77777777" w:rsidR="00907123" w:rsidRDefault="00907123" w:rsidP="00203DCF">
      <w:pPr>
        <w:spacing w:line="240" w:lineRule="auto"/>
        <w:rPr>
          <w:rFonts w:ascii="Verdana" w:hAnsi="Verdana" w:cs="Times New Roman"/>
          <w:b/>
          <w:sz w:val="20"/>
          <w:szCs w:val="20"/>
        </w:rPr>
      </w:pPr>
    </w:p>
    <w:p w14:paraId="1E73EF6E" w14:textId="52AB6DD4" w:rsidR="006E10E3" w:rsidRDefault="00D514E5" w:rsidP="00203DCF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How work was carried out?</w:t>
      </w:r>
    </w:p>
    <w:p w14:paraId="49FF626A" w14:textId="6FA31F09" w:rsidR="00BE15BA" w:rsidRPr="00203DCF" w:rsidRDefault="002113C9" w:rsidP="00203DCF">
      <w:pPr>
        <w:spacing w:line="240" w:lineRule="auto"/>
        <w:jc w:val="both"/>
        <w:rPr>
          <w:rFonts w:ascii="Verdana" w:hAnsi="Verdana" w:cs="Times New Roman"/>
          <w:bCs/>
          <w:sz w:val="20"/>
          <w:szCs w:val="20"/>
          <w:lang w:val="en-GB"/>
        </w:rPr>
      </w:pPr>
      <w:r>
        <w:rPr>
          <w:rFonts w:ascii="Verdana" w:hAnsi="Verdana" w:cs="Times New Roman"/>
          <w:sz w:val="20"/>
          <w:szCs w:val="20"/>
        </w:rPr>
        <w:t>Experiment</w:t>
      </w:r>
      <w:r w:rsidR="003408E5">
        <w:rPr>
          <w:rFonts w:ascii="Verdana" w:hAnsi="Verdana" w:cs="Times New Roman"/>
          <w:sz w:val="20"/>
          <w:szCs w:val="20"/>
        </w:rPr>
        <w:t xml:space="preserve"> was carried out in </w:t>
      </w:r>
      <w:r w:rsidR="00881F33">
        <w:rPr>
          <w:rFonts w:ascii="Verdana" w:hAnsi="Verdana" w:cs="Times New Roman"/>
          <w:sz w:val="20"/>
          <w:szCs w:val="20"/>
        </w:rPr>
        <w:t xml:space="preserve">2015-2016 in </w:t>
      </w:r>
      <w:proofErr w:type="spellStart"/>
      <w:r w:rsidR="003408E5">
        <w:rPr>
          <w:rFonts w:ascii="Verdana" w:hAnsi="Verdana" w:cs="Times New Roman"/>
          <w:sz w:val="20"/>
          <w:szCs w:val="20"/>
        </w:rPr>
        <w:t>Ullensvang</w:t>
      </w:r>
      <w:proofErr w:type="spellEnd"/>
      <w:r w:rsidR="003408E5">
        <w:rPr>
          <w:rFonts w:ascii="Verdana" w:hAnsi="Verdana" w:cs="Times New Roman"/>
          <w:sz w:val="20"/>
          <w:szCs w:val="20"/>
        </w:rPr>
        <w:t xml:space="preserve"> municipality, where most of the inhabitants live in narrow coastal mountainsides an</w:t>
      </w:r>
      <w:r w:rsidR="007728FB">
        <w:rPr>
          <w:rFonts w:ascii="Verdana" w:hAnsi="Verdana" w:cs="Times New Roman"/>
          <w:sz w:val="20"/>
          <w:szCs w:val="20"/>
        </w:rPr>
        <w:t xml:space="preserve">d valleys along </w:t>
      </w:r>
      <w:proofErr w:type="spellStart"/>
      <w:r w:rsidR="007728FB">
        <w:rPr>
          <w:rFonts w:ascii="Verdana" w:hAnsi="Verdana" w:cs="Times New Roman"/>
          <w:sz w:val="20"/>
          <w:szCs w:val="20"/>
        </w:rPr>
        <w:t>Hardangerfjord</w:t>
      </w:r>
      <w:proofErr w:type="spellEnd"/>
      <w:r w:rsidR="007728FB">
        <w:rPr>
          <w:rFonts w:ascii="Verdana" w:hAnsi="Verdana" w:cs="Times New Roman"/>
          <w:sz w:val="20"/>
          <w:szCs w:val="20"/>
        </w:rPr>
        <w:t>.</w:t>
      </w:r>
      <w:r w:rsidR="00881F33">
        <w:rPr>
          <w:rFonts w:ascii="Verdana" w:hAnsi="Verdana" w:cs="Times New Roman"/>
          <w:sz w:val="20"/>
          <w:szCs w:val="20"/>
        </w:rPr>
        <w:t xml:space="preserve"> T</w:t>
      </w:r>
      <w:r w:rsidR="00702779">
        <w:rPr>
          <w:rFonts w:ascii="Verdana" w:hAnsi="Verdana" w:cs="Times New Roman"/>
          <w:sz w:val="20"/>
          <w:szCs w:val="20"/>
        </w:rPr>
        <w:t xml:space="preserve">he most popular </w:t>
      </w:r>
      <w:r w:rsidR="007C04ED">
        <w:rPr>
          <w:rFonts w:ascii="Verdana" w:hAnsi="Verdana" w:cs="Times New Roman"/>
          <w:sz w:val="20"/>
          <w:szCs w:val="20"/>
        </w:rPr>
        <w:t xml:space="preserve">apple </w:t>
      </w:r>
      <w:r w:rsidR="00B9552A">
        <w:rPr>
          <w:rFonts w:ascii="Verdana" w:hAnsi="Verdana" w:cs="Times New Roman"/>
          <w:sz w:val="20"/>
          <w:szCs w:val="20"/>
        </w:rPr>
        <w:t>cultivars</w:t>
      </w:r>
      <w:r w:rsidR="00702779">
        <w:rPr>
          <w:rFonts w:ascii="Verdana" w:hAnsi="Verdana" w:cs="Times New Roman"/>
          <w:sz w:val="20"/>
          <w:szCs w:val="20"/>
        </w:rPr>
        <w:t xml:space="preserve"> in the area</w:t>
      </w:r>
      <w:r w:rsidR="00881F33">
        <w:rPr>
          <w:rFonts w:ascii="Verdana" w:hAnsi="Verdana" w:cs="Times New Roman"/>
          <w:sz w:val="20"/>
          <w:szCs w:val="20"/>
        </w:rPr>
        <w:t>,</w:t>
      </w:r>
      <w:r w:rsidR="007C04ED">
        <w:rPr>
          <w:rFonts w:ascii="Verdana" w:hAnsi="Verdana" w:cs="Times New Roman"/>
          <w:sz w:val="20"/>
          <w:szCs w:val="20"/>
        </w:rPr>
        <w:t xml:space="preserve"> ‘Aroma’ and ‘Discovery’</w:t>
      </w:r>
      <w:r w:rsidR="00881F33">
        <w:rPr>
          <w:rFonts w:ascii="Verdana" w:hAnsi="Verdana" w:cs="Times New Roman"/>
          <w:sz w:val="20"/>
          <w:szCs w:val="20"/>
        </w:rPr>
        <w:t xml:space="preserve"> were selected to the study</w:t>
      </w:r>
      <w:r w:rsidR="00702779">
        <w:rPr>
          <w:rFonts w:ascii="Verdana" w:hAnsi="Verdana" w:cs="Times New Roman"/>
          <w:sz w:val="20"/>
          <w:szCs w:val="20"/>
        </w:rPr>
        <w:t>.</w:t>
      </w:r>
      <w:r w:rsidR="00661810">
        <w:rPr>
          <w:rFonts w:ascii="Verdana" w:hAnsi="Verdana" w:cs="Times New Roman"/>
          <w:sz w:val="20"/>
          <w:szCs w:val="20"/>
        </w:rPr>
        <w:t xml:space="preserve"> </w:t>
      </w:r>
      <w:r w:rsidR="007C04ED">
        <w:rPr>
          <w:rFonts w:ascii="Verdana" w:hAnsi="Verdana" w:cs="Times New Roman"/>
          <w:sz w:val="20"/>
          <w:szCs w:val="20"/>
        </w:rPr>
        <w:t xml:space="preserve">Apple trees </w:t>
      </w:r>
      <w:r w:rsidR="001D2637">
        <w:rPr>
          <w:rFonts w:ascii="Verdana" w:hAnsi="Verdana" w:cs="Times New Roman"/>
          <w:sz w:val="20"/>
          <w:szCs w:val="20"/>
        </w:rPr>
        <w:t>‘Aroma’/M9 were planted in autumn 2010</w:t>
      </w:r>
      <w:r w:rsidR="00E75BAA">
        <w:rPr>
          <w:rFonts w:ascii="Verdana" w:hAnsi="Verdana" w:cs="Times New Roman"/>
          <w:sz w:val="20"/>
          <w:szCs w:val="20"/>
        </w:rPr>
        <w:t xml:space="preserve"> with 4,</w:t>
      </w:r>
      <w:r w:rsidR="007C04ED">
        <w:rPr>
          <w:rFonts w:ascii="Verdana" w:hAnsi="Verdana" w:cs="Times New Roman"/>
          <w:sz w:val="20"/>
          <w:szCs w:val="20"/>
        </w:rPr>
        <w:t>5x</w:t>
      </w:r>
      <w:r w:rsidR="00E75BAA">
        <w:rPr>
          <w:rFonts w:ascii="Verdana" w:hAnsi="Verdana" w:cs="Times New Roman"/>
          <w:sz w:val="20"/>
          <w:szCs w:val="20"/>
        </w:rPr>
        <w:t xml:space="preserve">1 m spacing </w:t>
      </w:r>
      <w:r w:rsidR="00807503">
        <w:rPr>
          <w:rFonts w:ascii="Verdana" w:hAnsi="Verdana" w:cs="Times New Roman"/>
          <w:sz w:val="20"/>
          <w:szCs w:val="20"/>
        </w:rPr>
        <w:t>in</w:t>
      </w:r>
      <w:r w:rsidR="00522E80">
        <w:rPr>
          <w:rFonts w:ascii="Verdana" w:hAnsi="Verdana" w:cs="Times New Roman"/>
          <w:sz w:val="20"/>
          <w:szCs w:val="20"/>
        </w:rPr>
        <w:t xml:space="preserve"> the</w:t>
      </w:r>
      <w:r w:rsidR="0080750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635E80">
        <w:rPr>
          <w:rFonts w:ascii="Verdana" w:hAnsi="Verdana" w:cs="Times New Roman"/>
          <w:sz w:val="20"/>
          <w:szCs w:val="20"/>
        </w:rPr>
        <w:t>Lofthus</w:t>
      </w:r>
      <w:proofErr w:type="spellEnd"/>
      <w:r w:rsidR="00635E80">
        <w:rPr>
          <w:rFonts w:ascii="Verdana" w:hAnsi="Verdana" w:cs="Times New Roman"/>
          <w:sz w:val="20"/>
          <w:szCs w:val="20"/>
        </w:rPr>
        <w:t xml:space="preserve"> </w:t>
      </w:r>
      <w:r w:rsidR="00E75BAA">
        <w:rPr>
          <w:rFonts w:ascii="Verdana" w:hAnsi="Verdana" w:cs="Times New Roman"/>
          <w:sz w:val="20"/>
          <w:szCs w:val="20"/>
        </w:rPr>
        <w:t>village</w:t>
      </w:r>
      <w:r w:rsidR="00090C8A">
        <w:rPr>
          <w:rFonts w:ascii="Verdana" w:hAnsi="Verdana" w:cs="Times New Roman"/>
          <w:sz w:val="20"/>
          <w:szCs w:val="20"/>
        </w:rPr>
        <w:t>,</w:t>
      </w:r>
      <w:r w:rsidR="00E75BAA">
        <w:rPr>
          <w:rFonts w:ascii="Verdana" w:hAnsi="Verdana" w:cs="Times New Roman"/>
          <w:sz w:val="20"/>
          <w:szCs w:val="20"/>
        </w:rPr>
        <w:t xml:space="preserve"> Hordaland (</w:t>
      </w:r>
      <w:r w:rsidR="00E75BAA" w:rsidRPr="00E75BAA">
        <w:rPr>
          <w:rFonts w:ascii="Verdana" w:hAnsi="Verdana" w:cs="Times New Roman"/>
          <w:sz w:val="20"/>
          <w:szCs w:val="20"/>
        </w:rPr>
        <w:t>60°19'12.8"N 6°39'12.7"E</w:t>
      </w:r>
      <w:r w:rsidR="003408E5">
        <w:rPr>
          <w:rFonts w:ascii="Verdana" w:hAnsi="Verdana" w:cs="Times New Roman"/>
          <w:sz w:val="20"/>
          <w:szCs w:val="20"/>
        </w:rPr>
        <w:t>)</w:t>
      </w:r>
      <w:r w:rsidR="00E75BAA">
        <w:rPr>
          <w:rFonts w:ascii="Verdana" w:hAnsi="Verdana" w:cs="Times New Roman"/>
          <w:sz w:val="20"/>
          <w:szCs w:val="20"/>
        </w:rPr>
        <w:t>. Polli</w:t>
      </w:r>
      <w:r w:rsidR="00881F33">
        <w:rPr>
          <w:rFonts w:ascii="Verdana" w:hAnsi="Verdana" w:cs="Times New Roman"/>
          <w:sz w:val="20"/>
          <w:szCs w:val="20"/>
        </w:rPr>
        <w:t>nizer tree in ‘Aroma’ orchard was</w:t>
      </w:r>
      <w:r w:rsidR="00E75BAA">
        <w:rPr>
          <w:rFonts w:ascii="Verdana" w:hAnsi="Verdana" w:cs="Times New Roman"/>
          <w:sz w:val="20"/>
          <w:szCs w:val="20"/>
        </w:rPr>
        <w:t xml:space="preserve"> </w:t>
      </w:r>
      <w:r w:rsidR="007C04ED">
        <w:rPr>
          <w:rFonts w:ascii="Verdana" w:hAnsi="Verdana" w:cs="Times New Roman"/>
          <w:sz w:val="20"/>
          <w:szCs w:val="20"/>
        </w:rPr>
        <w:t>cultivar</w:t>
      </w:r>
      <w:r w:rsidR="00522E80">
        <w:rPr>
          <w:rFonts w:ascii="Verdana" w:hAnsi="Verdana" w:cs="Times New Roman"/>
          <w:sz w:val="20"/>
          <w:szCs w:val="20"/>
        </w:rPr>
        <w:t xml:space="preserve"> ‘</w:t>
      </w:r>
      <w:proofErr w:type="spellStart"/>
      <w:r w:rsidR="00522E80">
        <w:rPr>
          <w:rFonts w:ascii="Verdana" w:hAnsi="Verdana" w:cs="Times New Roman"/>
          <w:sz w:val="20"/>
          <w:szCs w:val="20"/>
        </w:rPr>
        <w:t>Kobenza</w:t>
      </w:r>
      <w:proofErr w:type="spellEnd"/>
      <w:r w:rsidR="00522E80">
        <w:rPr>
          <w:rFonts w:ascii="Verdana" w:hAnsi="Verdana" w:cs="Times New Roman"/>
          <w:sz w:val="20"/>
          <w:szCs w:val="20"/>
        </w:rPr>
        <w:t xml:space="preserve">’ and </w:t>
      </w:r>
      <w:r w:rsidR="003408E5">
        <w:rPr>
          <w:rFonts w:ascii="Verdana" w:hAnsi="Verdana" w:cs="Times New Roman"/>
          <w:sz w:val="20"/>
          <w:szCs w:val="20"/>
        </w:rPr>
        <w:t>area classifies as a</w:t>
      </w:r>
      <w:r w:rsidR="00CE77D6">
        <w:rPr>
          <w:rFonts w:ascii="Verdana" w:hAnsi="Verdana" w:cs="Times New Roman"/>
          <w:sz w:val="20"/>
          <w:szCs w:val="20"/>
        </w:rPr>
        <w:t xml:space="preserve"> flat</w:t>
      </w:r>
      <w:r w:rsidR="003408E5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‘Discovery’</w:t>
      </w:r>
      <w:r w:rsidR="003408E5">
        <w:rPr>
          <w:rFonts w:ascii="Verdana" w:hAnsi="Verdana" w:cs="Times New Roman"/>
          <w:sz w:val="20"/>
          <w:szCs w:val="20"/>
        </w:rPr>
        <w:t xml:space="preserve"> field situates </w:t>
      </w:r>
      <w:r w:rsidR="00A7427F">
        <w:rPr>
          <w:rFonts w:ascii="Verdana" w:hAnsi="Verdana" w:cs="Times New Roman"/>
          <w:sz w:val="20"/>
          <w:szCs w:val="20"/>
        </w:rPr>
        <w:t xml:space="preserve">in the steep area </w:t>
      </w:r>
      <w:r w:rsidR="00881F33">
        <w:rPr>
          <w:rFonts w:ascii="Verdana" w:hAnsi="Verdana" w:cs="Times New Roman"/>
          <w:sz w:val="20"/>
          <w:szCs w:val="20"/>
        </w:rPr>
        <w:t>in</w:t>
      </w:r>
      <w:r w:rsidR="003408E5">
        <w:rPr>
          <w:rFonts w:ascii="Verdana" w:hAnsi="Verdana" w:cs="Times New Roman"/>
          <w:sz w:val="20"/>
          <w:szCs w:val="20"/>
        </w:rPr>
        <w:t xml:space="preserve"> </w:t>
      </w:r>
      <w:r w:rsidR="00782512">
        <w:rPr>
          <w:rFonts w:ascii="Verdana" w:hAnsi="Verdana" w:cs="Times New Roman"/>
          <w:sz w:val="20"/>
          <w:szCs w:val="20"/>
        </w:rPr>
        <w:t xml:space="preserve">the </w:t>
      </w:r>
      <w:proofErr w:type="spellStart"/>
      <w:r w:rsidR="00782512">
        <w:rPr>
          <w:rFonts w:ascii="Verdana" w:hAnsi="Verdana" w:cs="Times New Roman"/>
          <w:sz w:val="20"/>
          <w:szCs w:val="20"/>
        </w:rPr>
        <w:t>Jå</w:t>
      </w:r>
      <w:r>
        <w:rPr>
          <w:rFonts w:ascii="Verdana" w:hAnsi="Verdana" w:cs="Times New Roman"/>
          <w:sz w:val="20"/>
          <w:szCs w:val="20"/>
        </w:rPr>
        <w:t>stad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522E80">
        <w:rPr>
          <w:rFonts w:ascii="Verdana" w:hAnsi="Verdana" w:cs="Times New Roman"/>
          <w:sz w:val="20"/>
          <w:szCs w:val="20"/>
        </w:rPr>
        <w:t>village</w:t>
      </w:r>
      <w:r w:rsidR="00782512">
        <w:rPr>
          <w:rFonts w:ascii="Verdana" w:hAnsi="Verdana" w:cs="Times New Roman"/>
          <w:sz w:val="20"/>
          <w:szCs w:val="20"/>
        </w:rPr>
        <w:t xml:space="preserve"> </w:t>
      </w:r>
      <w:r w:rsidR="00782512" w:rsidRPr="00782512">
        <w:rPr>
          <w:rFonts w:ascii="Verdana" w:hAnsi="Verdana" w:cs="Times New Roman"/>
          <w:sz w:val="20"/>
          <w:szCs w:val="20"/>
        </w:rPr>
        <w:t>(</w:t>
      </w:r>
      <w:r w:rsidR="00782512" w:rsidRPr="00782512">
        <w:rPr>
          <w:rFonts w:ascii="Verdana" w:hAnsi="Verdana" w:cs="Times New Roman"/>
          <w:bCs/>
          <w:sz w:val="20"/>
          <w:szCs w:val="20"/>
        </w:rPr>
        <w:t>60°20'36.7"N 6°37'16.3"E)</w:t>
      </w:r>
      <w:r w:rsidR="000741E5">
        <w:rPr>
          <w:rFonts w:ascii="Verdana" w:hAnsi="Verdana" w:cs="Times New Roman"/>
          <w:sz w:val="20"/>
          <w:szCs w:val="20"/>
        </w:rPr>
        <w:t>. ‘Discovery’</w:t>
      </w:r>
      <w:r w:rsidR="00E35F77">
        <w:rPr>
          <w:rFonts w:ascii="Verdana" w:hAnsi="Verdana" w:cs="Times New Roman"/>
          <w:sz w:val="20"/>
          <w:szCs w:val="20"/>
        </w:rPr>
        <w:t>/M9</w:t>
      </w:r>
      <w:r w:rsidR="000741E5">
        <w:rPr>
          <w:rFonts w:ascii="Verdana" w:hAnsi="Verdana" w:cs="Times New Roman"/>
          <w:sz w:val="20"/>
          <w:szCs w:val="20"/>
        </w:rPr>
        <w:t xml:space="preserve"> orchard was planted 2011, </w:t>
      </w:r>
      <w:r w:rsidR="00807503">
        <w:rPr>
          <w:rFonts w:ascii="Verdana" w:hAnsi="Verdana" w:cs="Times New Roman"/>
          <w:sz w:val="20"/>
          <w:szCs w:val="20"/>
        </w:rPr>
        <w:t>with planting space</w:t>
      </w:r>
      <w:r w:rsidR="00E35F77">
        <w:rPr>
          <w:rFonts w:ascii="Verdana" w:hAnsi="Verdana" w:cs="Times New Roman"/>
          <w:sz w:val="20"/>
          <w:szCs w:val="20"/>
        </w:rPr>
        <w:t xml:space="preserve"> 3</w:t>
      </w:r>
      <w:r w:rsidR="00522E80">
        <w:rPr>
          <w:rFonts w:ascii="Verdana" w:hAnsi="Verdana" w:cs="Times New Roman"/>
          <w:sz w:val="20"/>
          <w:szCs w:val="20"/>
        </w:rPr>
        <w:t>,</w:t>
      </w:r>
      <w:r w:rsidR="001A11D5">
        <w:rPr>
          <w:rFonts w:ascii="Verdana" w:hAnsi="Verdana" w:cs="Times New Roman"/>
          <w:sz w:val="20"/>
          <w:szCs w:val="20"/>
        </w:rPr>
        <w:t>5</w:t>
      </w:r>
      <w:r w:rsidR="00881F33">
        <w:rPr>
          <w:rFonts w:ascii="Verdana" w:hAnsi="Verdana" w:cs="Times New Roman"/>
          <w:sz w:val="20"/>
          <w:szCs w:val="20"/>
        </w:rPr>
        <w:t>x</w:t>
      </w:r>
      <w:r w:rsidR="00E35F77">
        <w:rPr>
          <w:rFonts w:ascii="Verdana" w:hAnsi="Verdana" w:cs="Times New Roman"/>
          <w:sz w:val="20"/>
          <w:szCs w:val="20"/>
        </w:rPr>
        <w:t>0</w:t>
      </w:r>
      <w:r w:rsidR="00522E80">
        <w:rPr>
          <w:rFonts w:ascii="Verdana" w:hAnsi="Verdana" w:cs="Times New Roman"/>
          <w:sz w:val="20"/>
          <w:szCs w:val="20"/>
        </w:rPr>
        <w:t>,</w:t>
      </w:r>
      <w:r w:rsidR="001A11D5">
        <w:rPr>
          <w:rFonts w:ascii="Verdana" w:hAnsi="Verdana" w:cs="Times New Roman"/>
          <w:sz w:val="20"/>
          <w:szCs w:val="20"/>
        </w:rPr>
        <w:t>9</w:t>
      </w:r>
      <w:r w:rsidR="00E35F77">
        <w:rPr>
          <w:rFonts w:ascii="Verdana" w:hAnsi="Verdana" w:cs="Times New Roman"/>
          <w:sz w:val="20"/>
          <w:szCs w:val="20"/>
        </w:rPr>
        <w:t xml:space="preserve"> m.</w:t>
      </w:r>
      <w:r w:rsidR="007C04ED">
        <w:rPr>
          <w:rFonts w:ascii="Verdana" w:hAnsi="Verdana" w:cs="Times New Roman"/>
          <w:sz w:val="20"/>
          <w:szCs w:val="20"/>
        </w:rPr>
        <w:t xml:space="preserve"> </w:t>
      </w:r>
      <w:r w:rsidR="00355E79">
        <w:rPr>
          <w:rFonts w:ascii="Verdana" w:hAnsi="Verdana" w:cs="Times New Roman"/>
          <w:sz w:val="20"/>
          <w:szCs w:val="20"/>
        </w:rPr>
        <w:t>Fertigation w</w:t>
      </w:r>
      <w:r w:rsidR="00CE77D6">
        <w:rPr>
          <w:rFonts w:ascii="Verdana" w:hAnsi="Verdana" w:cs="Times New Roman"/>
          <w:sz w:val="20"/>
          <w:szCs w:val="20"/>
        </w:rPr>
        <w:t xml:space="preserve">as </w:t>
      </w:r>
      <w:r w:rsidR="007C04ED">
        <w:rPr>
          <w:rFonts w:ascii="Verdana" w:hAnsi="Verdana" w:cs="Times New Roman"/>
          <w:sz w:val="20"/>
          <w:szCs w:val="20"/>
        </w:rPr>
        <w:t xml:space="preserve">carried out </w:t>
      </w:r>
      <w:r w:rsidR="00CE77D6">
        <w:rPr>
          <w:rFonts w:ascii="Verdana" w:hAnsi="Verdana" w:cs="Times New Roman"/>
          <w:sz w:val="20"/>
          <w:szCs w:val="20"/>
        </w:rPr>
        <w:t xml:space="preserve">twice a week two </w:t>
      </w:r>
      <w:r w:rsidR="00126084" w:rsidRPr="00126084">
        <w:rPr>
          <w:rFonts w:ascii="Verdana" w:hAnsi="Verdana" w:cs="Times New Roman"/>
          <w:sz w:val="20"/>
          <w:szCs w:val="20"/>
        </w:rPr>
        <w:t>weeks before blooming</w:t>
      </w:r>
      <w:r w:rsidR="00CE77D6">
        <w:rPr>
          <w:rFonts w:ascii="Verdana" w:hAnsi="Verdana" w:cs="Times New Roman"/>
          <w:sz w:val="20"/>
          <w:szCs w:val="20"/>
        </w:rPr>
        <w:t xml:space="preserve"> (apples start to bloom in the middle of May in Norway). Ground fertilizer was pelleted organic fertilizer Marihøne Pluss</w:t>
      </w:r>
      <w:r w:rsidR="00A7427F">
        <w:rPr>
          <w:rFonts w:ascii="Verdana" w:hAnsi="Verdana" w:cs="Times New Roman"/>
          <w:sz w:val="20"/>
          <w:szCs w:val="20"/>
        </w:rPr>
        <w:t xml:space="preserve"> 8</w:t>
      </w:r>
      <w:r w:rsidR="00CE77D6">
        <w:rPr>
          <w:rFonts w:ascii="Verdana" w:hAnsi="Verdana" w:cs="Times New Roman"/>
          <w:sz w:val="20"/>
          <w:szCs w:val="20"/>
        </w:rPr>
        <w:t>–</w:t>
      </w:r>
      <w:r w:rsidR="00A7427F">
        <w:rPr>
          <w:rFonts w:ascii="Verdana" w:hAnsi="Verdana" w:cs="Times New Roman"/>
          <w:sz w:val="20"/>
          <w:szCs w:val="20"/>
        </w:rPr>
        <w:t>4</w:t>
      </w:r>
      <w:r w:rsidR="00522E80">
        <w:rPr>
          <w:rFonts w:ascii="Verdana" w:hAnsi="Verdana" w:cs="Times New Roman"/>
          <w:sz w:val="20"/>
          <w:szCs w:val="20"/>
        </w:rPr>
        <w:t>–5</w:t>
      </w:r>
      <w:r w:rsidR="00CE77D6">
        <w:rPr>
          <w:rFonts w:ascii="Verdana" w:hAnsi="Verdana" w:cs="Times New Roman"/>
          <w:sz w:val="20"/>
          <w:szCs w:val="20"/>
        </w:rPr>
        <w:t xml:space="preserve"> w</w:t>
      </w:r>
      <w:r w:rsidR="00536BD4">
        <w:rPr>
          <w:rFonts w:ascii="Verdana" w:hAnsi="Verdana" w:cs="Times New Roman"/>
          <w:sz w:val="20"/>
          <w:szCs w:val="20"/>
        </w:rPr>
        <w:t>ith the fertigation rate 30 kg N</w:t>
      </w:r>
      <w:r w:rsidR="00CE77D6">
        <w:rPr>
          <w:rFonts w:ascii="Verdana" w:hAnsi="Verdana" w:cs="Times New Roman"/>
          <w:sz w:val="20"/>
          <w:szCs w:val="20"/>
        </w:rPr>
        <w:t>/ha. Thinning method used in the trial was strong</w:t>
      </w:r>
      <w:r w:rsidR="00881F33">
        <w:rPr>
          <w:rFonts w:ascii="Verdana" w:hAnsi="Verdana" w:cs="Times New Roman"/>
          <w:sz w:val="20"/>
          <w:szCs w:val="20"/>
        </w:rPr>
        <w:t xml:space="preserve"> (</w:t>
      </w:r>
      <w:r w:rsidR="00881F33" w:rsidRPr="00536BD4">
        <w:rPr>
          <w:rFonts w:ascii="Verdana" w:hAnsi="Verdana" w:cs="Times New Roman"/>
          <w:sz w:val="20"/>
          <w:szCs w:val="20"/>
        </w:rPr>
        <w:t xml:space="preserve">15 cm </w:t>
      </w:r>
      <w:r w:rsidR="00881F33">
        <w:rPr>
          <w:rFonts w:ascii="Verdana" w:hAnsi="Verdana" w:cs="Times New Roman"/>
          <w:sz w:val="20"/>
          <w:szCs w:val="20"/>
        </w:rPr>
        <w:t>between the fruit)</w:t>
      </w:r>
      <w:r w:rsidR="00CE77D6">
        <w:rPr>
          <w:rFonts w:ascii="Verdana" w:hAnsi="Verdana" w:cs="Times New Roman"/>
          <w:sz w:val="20"/>
          <w:szCs w:val="20"/>
        </w:rPr>
        <w:t xml:space="preserve"> </w:t>
      </w:r>
      <w:r w:rsidR="00536BD4">
        <w:rPr>
          <w:rFonts w:ascii="Verdana" w:hAnsi="Verdana" w:cs="Times New Roman"/>
          <w:sz w:val="20"/>
          <w:szCs w:val="20"/>
        </w:rPr>
        <w:t>and weak thinning</w:t>
      </w:r>
      <w:r w:rsidR="00881F33">
        <w:rPr>
          <w:rFonts w:ascii="Verdana" w:hAnsi="Verdana" w:cs="Times New Roman"/>
          <w:sz w:val="20"/>
          <w:szCs w:val="20"/>
        </w:rPr>
        <w:t xml:space="preserve"> (</w:t>
      </w:r>
      <w:r w:rsidR="00881F33" w:rsidRPr="00536BD4">
        <w:rPr>
          <w:rFonts w:ascii="Verdana" w:hAnsi="Verdana" w:cs="Times New Roman"/>
          <w:sz w:val="20"/>
          <w:szCs w:val="20"/>
        </w:rPr>
        <w:t>15 cm after 1</w:t>
      </w:r>
      <w:r w:rsidR="00881F33">
        <w:rPr>
          <w:rFonts w:ascii="Verdana" w:hAnsi="Verdana" w:cs="Times New Roman"/>
          <w:sz w:val="20"/>
          <w:szCs w:val="20"/>
        </w:rPr>
        <w:t xml:space="preserve"> or 2 fruit)</w:t>
      </w:r>
      <w:r w:rsidR="00536BD4">
        <w:rPr>
          <w:rFonts w:ascii="Verdana" w:hAnsi="Verdana" w:cs="Times New Roman"/>
          <w:sz w:val="20"/>
          <w:szCs w:val="20"/>
        </w:rPr>
        <w:t>.</w:t>
      </w:r>
      <w:r w:rsidR="007C04ED">
        <w:rPr>
          <w:rFonts w:ascii="Verdana" w:hAnsi="Verdana" w:cs="Times New Roman"/>
          <w:sz w:val="20"/>
          <w:szCs w:val="20"/>
        </w:rPr>
        <w:t xml:space="preserve"> </w:t>
      </w:r>
      <w:r w:rsidR="00522E80">
        <w:rPr>
          <w:rFonts w:ascii="Verdana" w:hAnsi="Verdana" w:cs="Times New Roman"/>
          <w:sz w:val="20"/>
          <w:szCs w:val="20"/>
        </w:rPr>
        <w:t xml:space="preserve">Fertilizers used in </w:t>
      </w:r>
      <w:r w:rsidR="00881F33">
        <w:rPr>
          <w:rFonts w:ascii="Verdana" w:hAnsi="Verdana" w:cs="Times New Roman"/>
          <w:sz w:val="20"/>
          <w:szCs w:val="20"/>
        </w:rPr>
        <w:t xml:space="preserve">our </w:t>
      </w:r>
      <w:r w:rsidR="00522E80">
        <w:rPr>
          <w:rFonts w:ascii="Verdana" w:hAnsi="Verdana" w:cs="Times New Roman"/>
          <w:sz w:val="20"/>
          <w:szCs w:val="20"/>
        </w:rPr>
        <w:t>trial were</w:t>
      </w:r>
      <w:r w:rsidR="007C04ED">
        <w:rPr>
          <w:rFonts w:ascii="Verdana" w:hAnsi="Verdana" w:cs="Times New Roman"/>
          <w:sz w:val="20"/>
          <w:szCs w:val="20"/>
        </w:rPr>
        <w:t xml:space="preserve"> o</w:t>
      </w:r>
      <w:r w:rsidR="00A7427F" w:rsidRPr="007C04ED">
        <w:rPr>
          <w:rFonts w:ascii="Verdana" w:hAnsi="Verdana" w:cs="Times New Roman"/>
          <w:sz w:val="20"/>
          <w:szCs w:val="20"/>
        </w:rPr>
        <w:t>rganic pelleted fertilizer Marihøne Pluss 8–4–5 (</w:t>
      </w:r>
      <w:r w:rsidR="00B9552A" w:rsidRPr="007C04ED">
        <w:rPr>
          <w:rFonts w:ascii="Verdana" w:hAnsi="Verdana" w:cs="Times New Roman"/>
          <w:sz w:val="20"/>
          <w:szCs w:val="20"/>
        </w:rPr>
        <w:t xml:space="preserve">chicken manure, </w:t>
      </w:r>
      <w:r w:rsidR="00A7427F" w:rsidRPr="007C04ED">
        <w:rPr>
          <w:rFonts w:ascii="Verdana" w:hAnsi="Verdana" w:cs="Times New Roman"/>
          <w:sz w:val="20"/>
          <w:szCs w:val="20"/>
        </w:rPr>
        <w:t>meat bone meal and vinasse)</w:t>
      </w:r>
      <w:r w:rsidR="007C04ED">
        <w:rPr>
          <w:rFonts w:ascii="Verdana" w:hAnsi="Verdana" w:cs="Times New Roman"/>
          <w:sz w:val="20"/>
          <w:szCs w:val="20"/>
        </w:rPr>
        <w:t xml:space="preserve"> and</w:t>
      </w:r>
      <w:r w:rsidR="00A7427F" w:rsidRPr="007C04ED">
        <w:rPr>
          <w:rFonts w:ascii="Verdana" w:hAnsi="Verdana" w:cs="Times New Roman"/>
          <w:sz w:val="20"/>
          <w:szCs w:val="20"/>
        </w:rPr>
        <w:t xml:space="preserve"> </w:t>
      </w:r>
      <w:r w:rsidR="00881F33">
        <w:rPr>
          <w:rFonts w:ascii="Verdana" w:hAnsi="Verdana" w:cs="Times New Roman"/>
          <w:sz w:val="20"/>
          <w:szCs w:val="20"/>
        </w:rPr>
        <w:t xml:space="preserve">organic </w:t>
      </w:r>
      <w:r w:rsidR="00536BD4" w:rsidRPr="007C04ED">
        <w:rPr>
          <w:rFonts w:ascii="Verdana" w:hAnsi="Verdana" w:cs="Times New Roman"/>
          <w:sz w:val="20"/>
          <w:szCs w:val="20"/>
        </w:rPr>
        <w:t xml:space="preserve">liquid fertilizer </w:t>
      </w:r>
      <w:proofErr w:type="spellStart"/>
      <w:r w:rsidR="00661810" w:rsidRPr="007C04ED">
        <w:rPr>
          <w:rFonts w:ascii="Verdana" w:hAnsi="Verdana" w:cs="Times New Roman"/>
          <w:sz w:val="20"/>
          <w:szCs w:val="20"/>
        </w:rPr>
        <w:t>Pioner</w:t>
      </w:r>
      <w:proofErr w:type="spellEnd"/>
      <w:r w:rsidR="00661810" w:rsidRPr="007C04ED">
        <w:rPr>
          <w:rFonts w:ascii="Verdana" w:hAnsi="Verdana" w:cs="Times New Roman"/>
          <w:sz w:val="20"/>
          <w:szCs w:val="20"/>
        </w:rPr>
        <w:t xml:space="preserve"> Hi Fruit 4</w:t>
      </w:r>
      <w:r w:rsidR="00536BD4" w:rsidRPr="007C04ED">
        <w:rPr>
          <w:rFonts w:ascii="Verdana" w:hAnsi="Verdana" w:cs="Times New Roman"/>
          <w:sz w:val="20"/>
          <w:szCs w:val="20"/>
        </w:rPr>
        <w:t>–</w:t>
      </w:r>
      <w:r w:rsidR="00661810" w:rsidRPr="007C04ED">
        <w:rPr>
          <w:rFonts w:ascii="Verdana" w:hAnsi="Verdana" w:cs="Times New Roman"/>
          <w:sz w:val="20"/>
          <w:szCs w:val="20"/>
        </w:rPr>
        <w:t>1</w:t>
      </w:r>
      <w:r w:rsidR="00536BD4" w:rsidRPr="007C04ED">
        <w:rPr>
          <w:rFonts w:ascii="Verdana" w:hAnsi="Verdana" w:cs="Times New Roman"/>
          <w:sz w:val="20"/>
          <w:szCs w:val="20"/>
        </w:rPr>
        <w:t>–5 (organic plant material, natural minerals, extracts of sugarcane and potato)</w:t>
      </w:r>
      <w:r w:rsidR="007C04ED">
        <w:rPr>
          <w:rFonts w:ascii="Verdana" w:hAnsi="Verdana" w:cs="Times New Roman"/>
          <w:sz w:val="20"/>
          <w:szCs w:val="20"/>
        </w:rPr>
        <w:t xml:space="preserve">. </w:t>
      </w:r>
      <w:r w:rsidR="00536BD4">
        <w:rPr>
          <w:rFonts w:ascii="Verdana" w:hAnsi="Verdana" w:cs="Times New Roman"/>
          <w:sz w:val="20"/>
          <w:szCs w:val="20"/>
        </w:rPr>
        <w:t xml:space="preserve">In 2015 the fertigation rate was 15 and </w:t>
      </w:r>
      <w:r w:rsidR="00881F33">
        <w:rPr>
          <w:rFonts w:ascii="Verdana" w:hAnsi="Verdana" w:cs="Times New Roman"/>
          <w:sz w:val="20"/>
          <w:szCs w:val="20"/>
        </w:rPr>
        <w:t>30 kg N/ha with both fertilizers</w:t>
      </w:r>
      <w:r w:rsidR="00536BD4">
        <w:rPr>
          <w:rFonts w:ascii="Verdana" w:hAnsi="Verdana" w:cs="Times New Roman"/>
          <w:sz w:val="20"/>
          <w:szCs w:val="20"/>
        </w:rPr>
        <w:t>. In 2016 the N rate w</w:t>
      </w:r>
      <w:r w:rsidR="00987618">
        <w:rPr>
          <w:rFonts w:ascii="Verdana" w:hAnsi="Verdana" w:cs="Times New Roman"/>
          <w:sz w:val="20"/>
          <w:szCs w:val="20"/>
        </w:rPr>
        <w:t>as 30 and 60 kg N/ha. C</w:t>
      </w:r>
      <w:r w:rsidR="007728FB">
        <w:rPr>
          <w:rFonts w:ascii="Verdana" w:hAnsi="Verdana" w:cs="Times New Roman"/>
          <w:sz w:val="20"/>
          <w:szCs w:val="20"/>
        </w:rPr>
        <w:t>ontrol did not have any additional fertigation</w:t>
      </w:r>
      <w:r w:rsidR="00522E80">
        <w:rPr>
          <w:rFonts w:ascii="Verdana" w:hAnsi="Verdana" w:cs="Times New Roman"/>
          <w:sz w:val="20"/>
          <w:szCs w:val="20"/>
        </w:rPr>
        <w:t xml:space="preserve"> in both years</w:t>
      </w:r>
      <w:r w:rsidR="007728FB">
        <w:rPr>
          <w:rFonts w:ascii="Verdana" w:hAnsi="Verdana" w:cs="Times New Roman"/>
          <w:sz w:val="20"/>
          <w:szCs w:val="20"/>
        </w:rPr>
        <w:t>.</w:t>
      </w:r>
      <w:r w:rsidR="007C04ED">
        <w:rPr>
          <w:rFonts w:ascii="Verdana" w:hAnsi="Verdana" w:cs="Times New Roman"/>
          <w:sz w:val="20"/>
          <w:szCs w:val="20"/>
        </w:rPr>
        <w:t xml:space="preserve"> </w:t>
      </w:r>
      <w:r w:rsidR="007728FB">
        <w:rPr>
          <w:rFonts w:ascii="Verdana" w:hAnsi="Verdana" w:cs="Times New Roman"/>
          <w:sz w:val="20"/>
          <w:szCs w:val="20"/>
        </w:rPr>
        <w:t xml:space="preserve">Experimental design was a randomized complete block with </w:t>
      </w:r>
      <w:r w:rsidR="001A11D5">
        <w:rPr>
          <w:rFonts w:ascii="Verdana" w:hAnsi="Verdana" w:cs="Times New Roman"/>
          <w:sz w:val="20"/>
          <w:szCs w:val="20"/>
        </w:rPr>
        <w:t>four</w:t>
      </w:r>
      <w:r w:rsidR="007728FB">
        <w:rPr>
          <w:rFonts w:ascii="Verdana" w:hAnsi="Verdana" w:cs="Times New Roman"/>
          <w:sz w:val="20"/>
          <w:szCs w:val="20"/>
        </w:rPr>
        <w:t xml:space="preserve"> replications</w:t>
      </w:r>
      <w:r w:rsidR="00090C8A">
        <w:rPr>
          <w:rFonts w:ascii="Verdana" w:hAnsi="Verdana" w:cs="Times New Roman"/>
          <w:sz w:val="20"/>
          <w:szCs w:val="20"/>
        </w:rPr>
        <w:t>.</w:t>
      </w:r>
      <w:r w:rsidR="00203DCF">
        <w:rPr>
          <w:rFonts w:ascii="Verdana" w:hAnsi="Verdana" w:cs="Times New Roman"/>
          <w:sz w:val="20"/>
          <w:szCs w:val="20"/>
        </w:rPr>
        <w:t xml:space="preserve"> </w:t>
      </w:r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 xml:space="preserve">Firmness was determined by penetrometer (Fruit texture analyser </w:t>
      </w:r>
      <w:proofErr w:type="spellStart"/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>Güss</w:t>
      </w:r>
      <w:proofErr w:type="spellEnd"/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 xml:space="preserve"> 84 Jennings, South Africa) on opposite sides of each fruit and results were expressed as kg.cm</w:t>
      </w:r>
      <w:r w:rsidR="00635E80" w:rsidRPr="00635E80">
        <w:rPr>
          <w:rFonts w:ascii="Verdana" w:hAnsi="Verdana" w:cs="Times New Roman"/>
          <w:bCs/>
          <w:sz w:val="20"/>
          <w:szCs w:val="20"/>
          <w:vertAlign w:val="superscript"/>
          <w:lang w:val="en-GB"/>
        </w:rPr>
        <w:t>-2</w:t>
      </w:r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 xml:space="preserve">. </w:t>
      </w:r>
      <w:r w:rsidR="00635E80" w:rsidRPr="00635E80">
        <w:rPr>
          <w:rFonts w:ascii="Verdana" w:hAnsi="Verdana" w:cs="Times New Roman"/>
          <w:bCs/>
          <w:sz w:val="20"/>
          <w:szCs w:val="20"/>
        </w:rPr>
        <w:t>Chlorophyll absorbance index (absorption difference between 670 and 720 nm) indicating chlorophyll content I</w:t>
      </w:r>
      <w:r w:rsidR="00635E80" w:rsidRPr="00635E80">
        <w:rPr>
          <w:rFonts w:ascii="Verdana" w:hAnsi="Verdana" w:cs="Times New Roman"/>
          <w:bCs/>
          <w:sz w:val="20"/>
          <w:szCs w:val="20"/>
          <w:vertAlign w:val="subscript"/>
        </w:rPr>
        <w:t>AD</w:t>
      </w:r>
      <w:r w:rsidR="00635E80" w:rsidRPr="00635E80">
        <w:rPr>
          <w:rFonts w:ascii="Verdana" w:hAnsi="Verdana" w:cs="Times New Roman"/>
          <w:bCs/>
          <w:sz w:val="20"/>
          <w:szCs w:val="20"/>
        </w:rPr>
        <w:t xml:space="preserve"> was measured by DA meter (Model FRM01, Forli, Italy)</w:t>
      </w:r>
      <w:r w:rsidR="00203DCF">
        <w:rPr>
          <w:rFonts w:ascii="Verdana" w:hAnsi="Verdana" w:cs="Times New Roman"/>
          <w:bCs/>
          <w:sz w:val="20"/>
          <w:szCs w:val="20"/>
        </w:rPr>
        <w:t>.</w:t>
      </w:r>
      <w:r w:rsidR="00635E80" w:rsidRPr="00635E80">
        <w:rPr>
          <w:rFonts w:ascii="Verdana" w:hAnsi="Verdana" w:cs="Times New Roman"/>
          <w:bCs/>
          <w:sz w:val="20"/>
          <w:szCs w:val="20"/>
        </w:rPr>
        <w:t xml:space="preserve"> </w:t>
      </w:r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>Soluble solid content SSC was measured by a refractometer (</w:t>
      </w:r>
      <w:proofErr w:type="spellStart"/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>Atago</w:t>
      </w:r>
      <w:proofErr w:type="spellEnd"/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 xml:space="preserve">, Japan) and were expressed as °Brix. Titratable acid TA was analysed by titration of fruit juice as malic acid with 0.1M </w:t>
      </w:r>
      <w:proofErr w:type="spellStart"/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>NaOH</w:t>
      </w:r>
      <w:proofErr w:type="spellEnd"/>
      <w:r w:rsidR="00635E80" w:rsidRPr="00635E80">
        <w:rPr>
          <w:rFonts w:ascii="Verdana" w:hAnsi="Verdana" w:cs="Times New Roman"/>
          <w:bCs/>
          <w:sz w:val="20"/>
          <w:szCs w:val="20"/>
          <w:lang w:val="en-GB"/>
        </w:rPr>
        <w:t xml:space="preserve"> to pH 8.1 (</w:t>
      </w:r>
      <w:r w:rsidR="00635E80" w:rsidRPr="00635E80">
        <w:rPr>
          <w:rFonts w:ascii="Verdana" w:hAnsi="Verdana" w:cs="Times New Roman"/>
          <w:bCs/>
          <w:sz w:val="20"/>
          <w:szCs w:val="20"/>
        </w:rPr>
        <w:t xml:space="preserve">Radiometer-analytical </w:t>
      </w:r>
      <w:proofErr w:type="spellStart"/>
      <w:r w:rsidR="00635E80" w:rsidRPr="00635E80">
        <w:rPr>
          <w:rFonts w:ascii="Verdana" w:hAnsi="Verdana" w:cs="Times New Roman"/>
          <w:bCs/>
          <w:sz w:val="20"/>
          <w:szCs w:val="20"/>
        </w:rPr>
        <w:t>titrationmanager</w:t>
      </w:r>
      <w:proofErr w:type="spellEnd"/>
      <w:r w:rsidR="00635E80" w:rsidRPr="00635E80">
        <w:rPr>
          <w:rFonts w:ascii="Verdana" w:hAnsi="Verdana" w:cs="Times New Roman"/>
          <w:bCs/>
          <w:sz w:val="20"/>
          <w:szCs w:val="20"/>
        </w:rPr>
        <w:t xml:space="preserve"> TIM865 with sample changer SAC850, Germany) and the results were expressed in %. Starch score was assessed in an iodine solution and let stand more than 1 minute befo</w:t>
      </w:r>
      <w:r w:rsidR="00203DCF">
        <w:rPr>
          <w:rFonts w:ascii="Verdana" w:hAnsi="Verdana" w:cs="Times New Roman"/>
          <w:bCs/>
          <w:sz w:val="20"/>
          <w:szCs w:val="20"/>
        </w:rPr>
        <w:t>re evaluation</w:t>
      </w:r>
      <w:r w:rsidR="00987618">
        <w:rPr>
          <w:rFonts w:ascii="Verdana" w:hAnsi="Verdana" w:cs="Times New Roman"/>
          <w:bCs/>
          <w:sz w:val="20"/>
          <w:szCs w:val="20"/>
        </w:rPr>
        <w:t xml:space="preserve"> and it was</w:t>
      </w:r>
      <w:r w:rsidR="00203DCF">
        <w:rPr>
          <w:rFonts w:ascii="Verdana" w:hAnsi="Verdana" w:cs="Times New Roman"/>
          <w:bCs/>
          <w:sz w:val="20"/>
          <w:szCs w:val="20"/>
        </w:rPr>
        <w:t xml:space="preserve"> expressed in 1–</w:t>
      </w:r>
      <w:r w:rsidR="00635E80" w:rsidRPr="00635E80">
        <w:rPr>
          <w:rFonts w:ascii="Verdana" w:hAnsi="Verdana" w:cs="Times New Roman"/>
          <w:bCs/>
          <w:sz w:val="20"/>
          <w:szCs w:val="20"/>
        </w:rPr>
        <w:t>9 scale, where 1=full staining, 9=f</w:t>
      </w:r>
      <w:r w:rsidR="00635E80">
        <w:rPr>
          <w:rFonts w:ascii="Verdana" w:hAnsi="Verdana" w:cs="Times New Roman"/>
          <w:bCs/>
          <w:sz w:val="20"/>
          <w:szCs w:val="20"/>
        </w:rPr>
        <w:t>ree of starch.</w:t>
      </w:r>
      <w:r w:rsidR="00203DCF">
        <w:rPr>
          <w:rFonts w:ascii="Verdana" w:hAnsi="Verdana" w:cs="Times New Roman"/>
          <w:bCs/>
          <w:sz w:val="20"/>
          <w:szCs w:val="20"/>
        </w:rPr>
        <w:t xml:space="preserve"> </w:t>
      </w:r>
      <w:r w:rsidR="00AE49EB">
        <w:rPr>
          <w:rFonts w:ascii="Verdana" w:hAnsi="Verdana" w:cs="Times New Roman"/>
          <w:bCs/>
          <w:sz w:val="20"/>
          <w:szCs w:val="20"/>
        </w:rPr>
        <w:t xml:space="preserve">Statistical analyses were </w:t>
      </w:r>
      <w:r w:rsidR="00881F33">
        <w:rPr>
          <w:rFonts w:ascii="Verdana" w:hAnsi="Verdana" w:cs="Times New Roman"/>
          <w:bCs/>
          <w:sz w:val="20"/>
          <w:szCs w:val="20"/>
        </w:rPr>
        <w:t>done</w:t>
      </w:r>
      <w:r w:rsidR="00AE49EB">
        <w:rPr>
          <w:rFonts w:ascii="Verdana" w:hAnsi="Verdana" w:cs="Times New Roman"/>
          <w:bCs/>
          <w:sz w:val="20"/>
          <w:szCs w:val="20"/>
        </w:rPr>
        <w:t xml:space="preserve"> by One-w</w:t>
      </w:r>
      <w:r w:rsidR="00522E80">
        <w:rPr>
          <w:rFonts w:ascii="Verdana" w:hAnsi="Verdana" w:cs="Times New Roman"/>
          <w:bCs/>
          <w:sz w:val="20"/>
          <w:szCs w:val="20"/>
        </w:rPr>
        <w:t xml:space="preserve">ay analysis of variance (ANOVA). </w:t>
      </w:r>
      <w:r w:rsidR="00AE49EB">
        <w:rPr>
          <w:rFonts w:ascii="Verdana" w:hAnsi="Verdana" w:cs="Times New Roman"/>
          <w:bCs/>
          <w:sz w:val="20"/>
          <w:szCs w:val="20"/>
        </w:rPr>
        <w:t xml:space="preserve">Statistical significance was considered at </w:t>
      </w:r>
      <w:r w:rsidR="00AE49EB" w:rsidRPr="00AE49EB">
        <w:rPr>
          <w:rFonts w:ascii="Verdana" w:hAnsi="Verdana" w:cs="Times New Roman"/>
          <w:bCs/>
          <w:sz w:val="20"/>
          <w:szCs w:val="20"/>
          <w:lang w:val="en-GB"/>
        </w:rPr>
        <w:t>p&lt;0.05</w:t>
      </w:r>
      <w:r w:rsidR="00AE49EB">
        <w:rPr>
          <w:rFonts w:ascii="Verdana" w:hAnsi="Verdana" w:cs="Times New Roman"/>
          <w:bCs/>
          <w:sz w:val="20"/>
          <w:szCs w:val="20"/>
          <w:lang w:val="en-GB"/>
        </w:rPr>
        <w:t xml:space="preserve"> using Tukey’s test by using Minitab 17.2.4.0 (Minitab Ltd., State College, PA, USA). </w:t>
      </w:r>
    </w:p>
    <w:sectPr w:rsidR="00BE15BA" w:rsidRPr="0020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1224"/>
    <w:multiLevelType w:val="hybridMultilevel"/>
    <w:tmpl w:val="4D1A6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2178"/>
    <w:multiLevelType w:val="hybridMultilevel"/>
    <w:tmpl w:val="5DB43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A"/>
    <w:rsid w:val="000001A5"/>
    <w:rsid w:val="00002FF5"/>
    <w:rsid w:val="00013A85"/>
    <w:rsid w:val="000239D0"/>
    <w:rsid w:val="00024620"/>
    <w:rsid w:val="00073112"/>
    <w:rsid w:val="000741E5"/>
    <w:rsid w:val="00084AF7"/>
    <w:rsid w:val="00090C8A"/>
    <w:rsid w:val="000A6D00"/>
    <w:rsid w:val="000E7B18"/>
    <w:rsid w:val="000E7E8C"/>
    <w:rsid w:val="00106381"/>
    <w:rsid w:val="00126084"/>
    <w:rsid w:val="0013548E"/>
    <w:rsid w:val="001445BA"/>
    <w:rsid w:val="00147BFE"/>
    <w:rsid w:val="001A11D5"/>
    <w:rsid w:val="001D2637"/>
    <w:rsid w:val="001D2CA9"/>
    <w:rsid w:val="001E1295"/>
    <w:rsid w:val="001F5A48"/>
    <w:rsid w:val="00203DCF"/>
    <w:rsid w:val="002113C9"/>
    <w:rsid w:val="002D05CE"/>
    <w:rsid w:val="002E31F1"/>
    <w:rsid w:val="00320CD5"/>
    <w:rsid w:val="00337A5D"/>
    <w:rsid w:val="003408E5"/>
    <w:rsid w:val="00355E79"/>
    <w:rsid w:val="00361391"/>
    <w:rsid w:val="00373C2C"/>
    <w:rsid w:val="003840A7"/>
    <w:rsid w:val="00397C4E"/>
    <w:rsid w:val="003E7882"/>
    <w:rsid w:val="003F1E47"/>
    <w:rsid w:val="004060F0"/>
    <w:rsid w:val="0046387F"/>
    <w:rsid w:val="004812B9"/>
    <w:rsid w:val="00482F78"/>
    <w:rsid w:val="004F4D19"/>
    <w:rsid w:val="00515982"/>
    <w:rsid w:val="005205F9"/>
    <w:rsid w:val="00522E80"/>
    <w:rsid w:val="005327BA"/>
    <w:rsid w:val="00536BD4"/>
    <w:rsid w:val="00573694"/>
    <w:rsid w:val="005A21CB"/>
    <w:rsid w:val="005B1075"/>
    <w:rsid w:val="00605AE0"/>
    <w:rsid w:val="00612FAB"/>
    <w:rsid w:val="006231BE"/>
    <w:rsid w:val="00635E80"/>
    <w:rsid w:val="0065335F"/>
    <w:rsid w:val="00661810"/>
    <w:rsid w:val="006B2462"/>
    <w:rsid w:val="006C40DD"/>
    <w:rsid w:val="006D02B7"/>
    <w:rsid w:val="006D271A"/>
    <w:rsid w:val="006D3BD8"/>
    <w:rsid w:val="006E10E3"/>
    <w:rsid w:val="006F3040"/>
    <w:rsid w:val="006F4FBF"/>
    <w:rsid w:val="00702779"/>
    <w:rsid w:val="0070394B"/>
    <w:rsid w:val="00717591"/>
    <w:rsid w:val="00731B02"/>
    <w:rsid w:val="00765066"/>
    <w:rsid w:val="007728FB"/>
    <w:rsid w:val="00782512"/>
    <w:rsid w:val="007C04ED"/>
    <w:rsid w:val="007C4D7D"/>
    <w:rsid w:val="00807503"/>
    <w:rsid w:val="0081125A"/>
    <w:rsid w:val="00851D22"/>
    <w:rsid w:val="0086173E"/>
    <w:rsid w:val="0086221A"/>
    <w:rsid w:val="00875318"/>
    <w:rsid w:val="00881F33"/>
    <w:rsid w:val="008837EE"/>
    <w:rsid w:val="009026C3"/>
    <w:rsid w:val="00903C5A"/>
    <w:rsid w:val="00907123"/>
    <w:rsid w:val="009601FC"/>
    <w:rsid w:val="00964D6B"/>
    <w:rsid w:val="00987618"/>
    <w:rsid w:val="009F4F7E"/>
    <w:rsid w:val="00A15796"/>
    <w:rsid w:val="00A17A97"/>
    <w:rsid w:val="00A51868"/>
    <w:rsid w:val="00A72D46"/>
    <w:rsid w:val="00A7427F"/>
    <w:rsid w:val="00AE49EB"/>
    <w:rsid w:val="00AE5910"/>
    <w:rsid w:val="00AF6C39"/>
    <w:rsid w:val="00B136BA"/>
    <w:rsid w:val="00B463D0"/>
    <w:rsid w:val="00B507E2"/>
    <w:rsid w:val="00B66AD3"/>
    <w:rsid w:val="00B94451"/>
    <w:rsid w:val="00B9552A"/>
    <w:rsid w:val="00BB5709"/>
    <w:rsid w:val="00BE15BA"/>
    <w:rsid w:val="00BF05D7"/>
    <w:rsid w:val="00C21E72"/>
    <w:rsid w:val="00C560C3"/>
    <w:rsid w:val="00C80FCE"/>
    <w:rsid w:val="00CB744E"/>
    <w:rsid w:val="00CD2F58"/>
    <w:rsid w:val="00CE77D6"/>
    <w:rsid w:val="00CF762C"/>
    <w:rsid w:val="00D04506"/>
    <w:rsid w:val="00D16BF2"/>
    <w:rsid w:val="00D514E5"/>
    <w:rsid w:val="00D80C43"/>
    <w:rsid w:val="00D82BFB"/>
    <w:rsid w:val="00D82E63"/>
    <w:rsid w:val="00DD1DA5"/>
    <w:rsid w:val="00DD6776"/>
    <w:rsid w:val="00DE5FB0"/>
    <w:rsid w:val="00E25C4B"/>
    <w:rsid w:val="00E35F77"/>
    <w:rsid w:val="00E4613C"/>
    <w:rsid w:val="00E630D2"/>
    <w:rsid w:val="00E75BAA"/>
    <w:rsid w:val="00ED5484"/>
    <w:rsid w:val="00EE1D49"/>
    <w:rsid w:val="00F047E5"/>
    <w:rsid w:val="00F545F7"/>
    <w:rsid w:val="00F90B57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C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B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5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5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7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E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E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E3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B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5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5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7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E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E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E3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koort@nibio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6889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Koort</dc:creator>
  <cp:lastModifiedBy>Hakala Kaija</cp:lastModifiedBy>
  <cp:revision>2</cp:revision>
  <dcterms:created xsi:type="dcterms:W3CDTF">2017-05-12T09:15:00Z</dcterms:created>
  <dcterms:modified xsi:type="dcterms:W3CDTF">2017-05-12T09:15:00Z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2056069496</vt:i4>
  </property>
  <property fmtid="{D5CDD505-2E9C-101B-9397-08002B2CF9AE}" pid="3" name="_NewReviewCycle">
    <vt:lpwstr/>
  </property>
  <property fmtid="{D5CDD505-2E9C-101B-9397-08002B2CF9AE}" pid="4" name="_EmailSubject">
    <vt:lpwstr>Second abstract back corrected</vt:lpwstr>
  </property>
  <property fmtid="{D5CDD505-2E9C-101B-9397-08002B2CF9AE}" pid="5" name="_AuthorEmail">
    <vt:lpwstr>kaija.hakala@luke.fi</vt:lpwstr>
  </property>
  <property fmtid="{D5CDD505-2E9C-101B-9397-08002B2CF9AE}" pid="6" name="_AuthorEmailDisplayName">
    <vt:lpwstr>Hakala Kaija (Luke)</vt:lpwstr>
  </property>
  <property fmtid="{D5CDD505-2E9C-101B-9397-08002B2CF9AE}" pid="8" name="_PreviousAdHocReviewCycleID">
    <vt:i4>-1944411212</vt:i4>
  </property>
</Properties>
</file>