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05040" w14:textId="77777777" w:rsidR="00206F00" w:rsidRPr="0045209C" w:rsidRDefault="00EC1CDC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Potential of cover crops</w:t>
      </w:r>
      <w:r w:rsidR="0045209C" w:rsidRPr="0045209C">
        <w:rPr>
          <w:rFonts w:ascii="Verdana" w:hAnsi="Verdana"/>
          <w:sz w:val="24"/>
          <w:szCs w:val="24"/>
          <w:lang w:val="en-US"/>
        </w:rPr>
        <w:t xml:space="preserve"> for weed management in organic cropping </w:t>
      </w:r>
    </w:p>
    <w:p w14:paraId="14A3685E" w14:textId="77777777" w:rsidR="0045209C" w:rsidRPr="00EC1CDC" w:rsidRDefault="0045209C">
      <w:pPr>
        <w:rPr>
          <w:rFonts w:ascii="Verdana" w:hAnsi="Verdana" w:cstheme="minorHAnsi"/>
          <w:sz w:val="20"/>
          <w:szCs w:val="20"/>
          <w:vertAlign w:val="superscript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J. Salonen</w:t>
      </w:r>
      <w:r w:rsidR="00EC1CDC">
        <w:rPr>
          <w:rFonts w:ascii="Verdana" w:hAnsi="Verdana" w:cstheme="minorHAnsi"/>
          <w:sz w:val="20"/>
          <w:szCs w:val="20"/>
          <w:vertAlign w:val="superscript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 xml:space="preserve"> &amp; L. Zarina</w:t>
      </w:r>
      <w:r w:rsidR="00EC1CDC">
        <w:rPr>
          <w:rFonts w:ascii="Verdana" w:hAnsi="Verdana" w:cstheme="minorHAnsi"/>
          <w:sz w:val="20"/>
          <w:szCs w:val="20"/>
          <w:vertAlign w:val="superscript"/>
          <w:lang w:val="en-US"/>
        </w:rPr>
        <w:t>2</w:t>
      </w:r>
    </w:p>
    <w:p w14:paraId="5BE78BB4" w14:textId="2B7810A2" w:rsidR="0045209C" w:rsidRPr="00480836" w:rsidRDefault="00EC1CDC">
      <w:pPr>
        <w:rPr>
          <w:rFonts w:ascii="Verdana" w:hAnsi="Verdana"/>
          <w:i/>
          <w:sz w:val="20"/>
          <w:szCs w:val="20"/>
          <w:lang w:val="en-US"/>
        </w:rPr>
      </w:pPr>
      <w:r w:rsidRPr="00480836">
        <w:rPr>
          <w:rFonts w:ascii="Verdana" w:hAnsi="Verdana" w:cstheme="minorHAnsi"/>
          <w:i/>
          <w:sz w:val="20"/>
          <w:szCs w:val="20"/>
          <w:vertAlign w:val="superscript"/>
          <w:lang w:val="en-US"/>
        </w:rPr>
        <w:t>1</w:t>
      </w:r>
      <w:r w:rsidR="0045209C" w:rsidRPr="00480836">
        <w:rPr>
          <w:rFonts w:ascii="Verdana" w:hAnsi="Verdana"/>
          <w:i/>
          <w:sz w:val="20"/>
          <w:szCs w:val="20"/>
          <w:lang w:val="en-US"/>
        </w:rPr>
        <w:t>Natural Resources Institute Finland</w:t>
      </w:r>
      <w:r w:rsidR="00E26D30">
        <w:rPr>
          <w:rFonts w:ascii="Verdana" w:hAnsi="Verdana"/>
          <w:i/>
          <w:sz w:val="20"/>
          <w:szCs w:val="20"/>
          <w:lang w:val="en-US"/>
        </w:rPr>
        <w:t xml:space="preserve"> (Luke)</w:t>
      </w:r>
      <w:r w:rsidR="0045209C" w:rsidRPr="00480836">
        <w:rPr>
          <w:rFonts w:ascii="Verdana" w:hAnsi="Verdana"/>
          <w:i/>
          <w:sz w:val="20"/>
          <w:szCs w:val="20"/>
          <w:lang w:val="en-US"/>
        </w:rPr>
        <w:t xml:space="preserve">, FI-31600 Jokioinen </w:t>
      </w:r>
      <w:r w:rsidR="00453325" w:rsidRPr="00480836">
        <w:rPr>
          <w:rFonts w:ascii="Verdana" w:hAnsi="Verdana"/>
          <w:i/>
          <w:sz w:val="20"/>
          <w:szCs w:val="20"/>
          <w:lang w:val="en-US"/>
        </w:rPr>
        <w:t xml:space="preserve">FINLAND </w:t>
      </w:r>
      <w:r w:rsidR="0045209C" w:rsidRPr="00480836">
        <w:rPr>
          <w:rFonts w:ascii="Verdana" w:hAnsi="Verdana"/>
          <w:i/>
          <w:sz w:val="20"/>
          <w:szCs w:val="20"/>
          <w:lang w:val="en-US"/>
        </w:rPr>
        <w:t>(</w:t>
      </w:r>
      <w:hyperlink r:id="rId6" w:history="1">
        <w:r w:rsidR="0045209C" w:rsidRPr="00D14BF1">
          <w:rPr>
            <w:rStyle w:val="Hyperlnk"/>
            <w:rFonts w:ascii="Verdana" w:hAnsi="Verdana"/>
            <w:i/>
            <w:color w:val="auto"/>
            <w:sz w:val="20"/>
            <w:szCs w:val="20"/>
            <w:bdr w:val="single" w:sz="4" w:space="0" w:color="auto"/>
            <w:lang w:val="en-US"/>
          </w:rPr>
          <w:t>jukka.salonen@luke.fi</w:t>
        </w:r>
      </w:hyperlink>
      <w:r w:rsidR="0045209C" w:rsidRPr="00480836">
        <w:rPr>
          <w:rFonts w:ascii="Verdana" w:hAnsi="Verdana"/>
          <w:i/>
          <w:sz w:val="20"/>
          <w:szCs w:val="20"/>
          <w:lang w:val="en-US"/>
        </w:rPr>
        <w:t xml:space="preserve">), </w:t>
      </w:r>
      <w:r w:rsidR="00342966" w:rsidRPr="00480836">
        <w:rPr>
          <w:rFonts w:ascii="Verdana" w:hAnsi="Verdana" w:cstheme="minorHAnsi"/>
          <w:i/>
          <w:sz w:val="20"/>
          <w:szCs w:val="20"/>
          <w:vertAlign w:val="superscript"/>
          <w:lang w:val="en-US"/>
        </w:rPr>
        <w:t>2</w:t>
      </w:r>
      <w:r w:rsidR="00342966" w:rsidRPr="00480836">
        <w:rPr>
          <w:rStyle w:val="Stark"/>
          <w:rFonts w:ascii="Verdana" w:hAnsi="Verdana"/>
          <w:b w:val="0"/>
          <w:i/>
          <w:sz w:val="20"/>
          <w:szCs w:val="20"/>
          <w:lang w:val="lv-LV"/>
        </w:rPr>
        <w:t>Institute of Agricultural Resources</w:t>
      </w:r>
      <w:r w:rsidR="00F34A12" w:rsidRPr="00480836">
        <w:rPr>
          <w:rStyle w:val="Stark"/>
          <w:rFonts w:ascii="Verdana" w:hAnsi="Verdana"/>
          <w:b w:val="0"/>
          <w:i/>
          <w:sz w:val="20"/>
          <w:szCs w:val="20"/>
          <w:lang w:val="lv-LV"/>
        </w:rPr>
        <w:t xml:space="preserve"> and Economics</w:t>
      </w:r>
      <w:r w:rsidRPr="00480836">
        <w:rPr>
          <w:rFonts w:ascii="Verdana" w:hAnsi="Verdana"/>
          <w:i/>
          <w:sz w:val="20"/>
          <w:szCs w:val="20"/>
          <w:lang w:val="en-US"/>
        </w:rPr>
        <w:t xml:space="preserve">, LV-4126 </w:t>
      </w:r>
      <w:proofErr w:type="spellStart"/>
      <w:r w:rsidRPr="00480836">
        <w:rPr>
          <w:rFonts w:ascii="Verdana" w:hAnsi="Verdana"/>
          <w:i/>
          <w:sz w:val="20"/>
          <w:szCs w:val="20"/>
          <w:lang w:val="en-US"/>
        </w:rPr>
        <w:t>Priekuli</w:t>
      </w:r>
      <w:proofErr w:type="spellEnd"/>
      <w:r w:rsidR="0045209C" w:rsidRPr="00480836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453325" w:rsidRPr="00480836">
        <w:rPr>
          <w:rFonts w:ascii="Verdana" w:hAnsi="Verdana"/>
          <w:i/>
          <w:sz w:val="20"/>
          <w:szCs w:val="20"/>
          <w:lang w:val="en-US"/>
        </w:rPr>
        <w:t>LATVIA</w:t>
      </w:r>
      <w:r w:rsidR="00480836" w:rsidRPr="00480836">
        <w:rPr>
          <w:rFonts w:ascii="Verdana" w:hAnsi="Verdana"/>
          <w:i/>
          <w:sz w:val="20"/>
          <w:szCs w:val="20"/>
          <w:lang w:val="en-US"/>
        </w:rPr>
        <w:t xml:space="preserve"> (lzar@inbox.lv)</w:t>
      </w:r>
    </w:p>
    <w:p w14:paraId="5CE76303" w14:textId="77777777" w:rsidR="00127041" w:rsidRDefault="00127041" w:rsidP="00810FF2">
      <w:pPr>
        <w:spacing w:line="240" w:lineRule="auto"/>
        <w:rPr>
          <w:rFonts w:ascii="Verdana" w:hAnsi="Verdana"/>
          <w:b/>
          <w:sz w:val="20"/>
          <w:szCs w:val="20"/>
          <w:lang w:val="en-US"/>
        </w:rPr>
      </w:pPr>
      <w:r w:rsidRPr="00127041">
        <w:rPr>
          <w:rFonts w:ascii="Verdana" w:hAnsi="Verdana"/>
          <w:b/>
          <w:sz w:val="20"/>
          <w:szCs w:val="20"/>
          <w:lang w:val="en-US"/>
        </w:rPr>
        <w:t>Implications</w:t>
      </w:r>
    </w:p>
    <w:p w14:paraId="33CE5623" w14:textId="77777777" w:rsidR="008669C5" w:rsidRPr="00577E7D" w:rsidRDefault="00480836" w:rsidP="00810FF2">
      <w:pPr>
        <w:spacing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occurrence of</w:t>
      </w:r>
      <w:r w:rsidR="00577E7D">
        <w:rPr>
          <w:rFonts w:ascii="Verdana" w:hAnsi="Verdana"/>
          <w:sz w:val="20"/>
          <w:szCs w:val="20"/>
          <w:lang w:val="en-US"/>
        </w:rPr>
        <w:t xml:space="preserve"> weeds can be reduced with successful choice of cover crops which are grown together with the main crop. </w:t>
      </w:r>
      <w:r w:rsidR="00BF24E8">
        <w:rPr>
          <w:rFonts w:ascii="Verdana" w:hAnsi="Verdana"/>
          <w:sz w:val="20"/>
          <w:szCs w:val="20"/>
          <w:lang w:val="en-US"/>
        </w:rPr>
        <w:t>Cover crops compete against weeds and, m</w:t>
      </w:r>
      <w:r w:rsidR="00577E7D">
        <w:rPr>
          <w:rFonts w:ascii="Verdana" w:hAnsi="Verdana"/>
          <w:sz w:val="20"/>
          <w:szCs w:val="20"/>
          <w:lang w:val="en-US"/>
        </w:rPr>
        <w:t xml:space="preserve">oreover, leguminous cover crops </w:t>
      </w:r>
      <w:r w:rsidR="007C3E87">
        <w:rPr>
          <w:rFonts w:ascii="Verdana" w:hAnsi="Verdana"/>
          <w:sz w:val="20"/>
          <w:szCs w:val="20"/>
          <w:lang w:val="en-US"/>
        </w:rPr>
        <w:t>leave nitrogen</w:t>
      </w:r>
      <w:r w:rsidR="00A9597D">
        <w:rPr>
          <w:rFonts w:ascii="Verdana" w:hAnsi="Verdana"/>
          <w:sz w:val="20"/>
          <w:szCs w:val="20"/>
          <w:lang w:val="en-US"/>
        </w:rPr>
        <w:t xml:space="preserve"> for t</w:t>
      </w:r>
      <w:r w:rsidR="007C3E87">
        <w:rPr>
          <w:rFonts w:ascii="Verdana" w:hAnsi="Verdana"/>
          <w:sz w:val="20"/>
          <w:szCs w:val="20"/>
          <w:lang w:val="en-US"/>
        </w:rPr>
        <w:t xml:space="preserve">he subsequent crops in </w:t>
      </w:r>
      <w:r w:rsidR="004B33D3">
        <w:rPr>
          <w:rFonts w:ascii="Verdana" w:hAnsi="Verdana"/>
          <w:sz w:val="20"/>
          <w:szCs w:val="20"/>
          <w:lang w:val="en-US"/>
        </w:rPr>
        <w:t xml:space="preserve">the </w:t>
      </w:r>
      <w:r w:rsidR="007C3E87">
        <w:rPr>
          <w:rFonts w:ascii="Verdana" w:hAnsi="Verdana"/>
          <w:sz w:val="20"/>
          <w:szCs w:val="20"/>
          <w:lang w:val="en-US"/>
        </w:rPr>
        <w:t>rotation and</w:t>
      </w:r>
      <w:r>
        <w:rPr>
          <w:rFonts w:ascii="Verdana" w:hAnsi="Verdana"/>
          <w:sz w:val="20"/>
          <w:szCs w:val="20"/>
          <w:lang w:val="en-US"/>
        </w:rPr>
        <w:t xml:space="preserve"> thereby</w:t>
      </w:r>
      <w:r w:rsidR="00A9597D">
        <w:rPr>
          <w:rFonts w:ascii="Verdana" w:hAnsi="Verdana"/>
          <w:sz w:val="20"/>
          <w:szCs w:val="20"/>
          <w:lang w:val="en-US"/>
        </w:rPr>
        <w:t xml:space="preserve"> </w:t>
      </w:r>
      <w:r w:rsidR="007C3E87">
        <w:rPr>
          <w:rFonts w:ascii="Verdana" w:hAnsi="Verdana"/>
          <w:sz w:val="20"/>
          <w:szCs w:val="20"/>
          <w:lang w:val="en-US"/>
        </w:rPr>
        <w:t>improve</w:t>
      </w:r>
      <w:r w:rsidR="00BF24E8">
        <w:rPr>
          <w:rFonts w:ascii="Verdana" w:hAnsi="Verdana"/>
          <w:sz w:val="20"/>
          <w:szCs w:val="20"/>
          <w:lang w:val="en-US"/>
        </w:rPr>
        <w:t xml:space="preserve"> their competitiveness against weeds. </w:t>
      </w:r>
      <w:r w:rsidR="00340414">
        <w:rPr>
          <w:rFonts w:ascii="Verdana" w:hAnsi="Verdana"/>
          <w:sz w:val="20"/>
          <w:szCs w:val="20"/>
          <w:lang w:val="en-US"/>
        </w:rPr>
        <w:t xml:space="preserve">Weed management with cover crops </w:t>
      </w:r>
      <w:r w:rsidR="00342966">
        <w:rPr>
          <w:rFonts w:ascii="Verdana" w:hAnsi="Verdana"/>
          <w:sz w:val="20"/>
          <w:szCs w:val="20"/>
          <w:lang w:val="en-US"/>
        </w:rPr>
        <w:t>should be built in</w:t>
      </w:r>
      <w:r w:rsidR="00F34A12">
        <w:rPr>
          <w:rFonts w:ascii="Verdana" w:hAnsi="Verdana"/>
          <w:sz w:val="20"/>
          <w:szCs w:val="20"/>
          <w:lang w:val="en-US"/>
        </w:rPr>
        <w:t>to</w:t>
      </w:r>
      <w:r w:rsidR="00342966">
        <w:rPr>
          <w:rFonts w:ascii="Verdana" w:hAnsi="Verdana"/>
          <w:sz w:val="20"/>
          <w:szCs w:val="20"/>
          <w:lang w:val="en-US"/>
        </w:rPr>
        <w:t xml:space="preserve"> a sustainable integrated weed management strategy which enhances </w:t>
      </w:r>
      <w:r w:rsidR="00F34A12">
        <w:rPr>
          <w:rFonts w:ascii="Verdana" w:hAnsi="Verdana"/>
          <w:sz w:val="20"/>
          <w:szCs w:val="20"/>
          <w:lang w:val="en-US"/>
        </w:rPr>
        <w:t xml:space="preserve">both the weed control and </w:t>
      </w:r>
      <w:r w:rsidR="00342966">
        <w:rPr>
          <w:rFonts w:ascii="Verdana" w:hAnsi="Verdana"/>
          <w:sz w:val="20"/>
          <w:szCs w:val="20"/>
          <w:lang w:val="en-US"/>
        </w:rPr>
        <w:t>the biodi</w:t>
      </w:r>
      <w:r w:rsidR="00F34A12">
        <w:rPr>
          <w:rFonts w:ascii="Verdana" w:hAnsi="Verdana"/>
          <w:sz w:val="20"/>
          <w:szCs w:val="20"/>
          <w:lang w:val="en-US"/>
        </w:rPr>
        <w:t>versity in crop stands</w:t>
      </w:r>
      <w:r w:rsidR="00342966">
        <w:rPr>
          <w:rFonts w:ascii="Verdana" w:hAnsi="Verdana"/>
          <w:sz w:val="20"/>
          <w:szCs w:val="20"/>
          <w:lang w:val="en-US"/>
        </w:rPr>
        <w:t>.</w:t>
      </w:r>
      <w:r w:rsidR="007C3E87">
        <w:rPr>
          <w:rFonts w:ascii="Verdana" w:hAnsi="Verdana"/>
          <w:sz w:val="20"/>
          <w:szCs w:val="20"/>
          <w:lang w:val="en-US"/>
        </w:rPr>
        <w:t xml:space="preserve"> </w:t>
      </w:r>
      <w:r w:rsidR="00340414">
        <w:rPr>
          <w:rFonts w:ascii="Verdana" w:hAnsi="Verdana"/>
          <w:sz w:val="20"/>
          <w:szCs w:val="20"/>
          <w:lang w:val="en-US"/>
        </w:rPr>
        <w:t xml:space="preserve"> </w:t>
      </w:r>
      <w:r w:rsidR="00577E7D">
        <w:rPr>
          <w:rFonts w:ascii="Verdana" w:hAnsi="Verdana"/>
          <w:sz w:val="20"/>
          <w:szCs w:val="20"/>
          <w:lang w:val="en-US"/>
        </w:rPr>
        <w:t xml:space="preserve"> </w:t>
      </w:r>
    </w:p>
    <w:p w14:paraId="0DCB53B6" w14:textId="77777777" w:rsidR="00127041" w:rsidRPr="00127041" w:rsidRDefault="00127041" w:rsidP="00810FF2">
      <w:pPr>
        <w:spacing w:line="240" w:lineRule="auto"/>
        <w:rPr>
          <w:rFonts w:ascii="Verdana" w:hAnsi="Verdana"/>
          <w:b/>
          <w:sz w:val="20"/>
          <w:szCs w:val="20"/>
          <w:lang w:val="en-US"/>
        </w:rPr>
      </w:pPr>
      <w:r w:rsidRPr="00127041">
        <w:rPr>
          <w:rFonts w:ascii="Verdana" w:hAnsi="Verdana"/>
          <w:b/>
          <w:sz w:val="20"/>
          <w:szCs w:val="20"/>
          <w:lang w:val="en-US"/>
        </w:rPr>
        <w:t>Background and objectives</w:t>
      </w:r>
    </w:p>
    <w:p w14:paraId="4C571C2C" w14:textId="315B03D3" w:rsidR="00127041" w:rsidRDefault="00340414" w:rsidP="00810FF2">
      <w:pPr>
        <w:spacing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In Northern Europe, </w:t>
      </w:r>
      <w:r w:rsidR="00BF24E8">
        <w:rPr>
          <w:rFonts w:ascii="Verdana" w:hAnsi="Verdana"/>
          <w:sz w:val="20"/>
          <w:szCs w:val="20"/>
          <w:lang w:val="en-US"/>
        </w:rPr>
        <w:t xml:space="preserve">the </w:t>
      </w:r>
      <w:r>
        <w:rPr>
          <w:rFonts w:ascii="Verdana" w:hAnsi="Verdana"/>
          <w:sz w:val="20"/>
          <w:szCs w:val="20"/>
          <w:lang w:val="en-US"/>
        </w:rPr>
        <w:t>c</w:t>
      </w:r>
      <w:r w:rsidR="00A9597D">
        <w:rPr>
          <w:rFonts w:ascii="Verdana" w:hAnsi="Verdana"/>
          <w:sz w:val="20"/>
          <w:szCs w:val="20"/>
          <w:lang w:val="en-US"/>
        </w:rPr>
        <w:t>urrent crop rotations in arable fields are often too short and dominated by spring-sown annual crops. In consequence</w:t>
      </w:r>
      <w:r>
        <w:rPr>
          <w:rFonts w:ascii="Verdana" w:hAnsi="Verdana"/>
          <w:sz w:val="20"/>
          <w:szCs w:val="20"/>
          <w:lang w:val="en-US"/>
        </w:rPr>
        <w:t xml:space="preserve">, some weed species </w:t>
      </w:r>
      <w:r w:rsidR="00BF24E8">
        <w:rPr>
          <w:rFonts w:ascii="Verdana" w:hAnsi="Verdana"/>
          <w:sz w:val="20"/>
          <w:szCs w:val="20"/>
          <w:lang w:val="en-US"/>
        </w:rPr>
        <w:t xml:space="preserve">become highly abundant </w:t>
      </w:r>
      <w:r w:rsidR="00F34A12">
        <w:rPr>
          <w:rFonts w:ascii="Verdana" w:hAnsi="Verdana"/>
          <w:sz w:val="20"/>
          <w:szCs w:val="20"/>
          <w:lang w:val="en-US"/>
        </w:rPr>
        <w:t>and hamper crop production</w:t>
      </w:r>
      <w:r w:rsidR="0047580E">
        <w:rPr>
          <w:rFonts w:ascii="Verdana" w:hAnsi="Verdana"/>
          <w:sz w:val="20"/>
          <w:szCs w:val="20"/>
          <w:lang w:val="en-US"/>
        </w:rPr>
        <w:t>. With systematic choice of cover crop species and their mixtures we c</w:t>
      </w:r>
      <w:r w:rsidR="00480836">
        <w:rPr>
          <w:rFonts w:ascii="Verdana" w:hAnsi="Verdana"/>
          <w:sz w:val="20"/>
          <w:szCs w:val="20"/>
          <w:lang w:val="en-US"/>
        </w:rPr>
        <w:t>ould control weed growth without significantly impeding</w:t>
      </w:r>
      <w:r w:rsidR="0047580E">
        <w:rPr>
          <w:rFonts w:ascii="Verdana" w:hAnsi="Verdana"/>
          <w:sz w:val="20"/>
          <w:szCs w:val="20"/>
          <w:lang w:val="en-US"/>
        </w:rPr>
        <w:t xml:space="preserve"> the crop growth. </w:t>
      </w:r>
      <w:r w:rsidR="008A3021">
        <w:rPr>
          <w:rFonts w:ascii="Verdana" w:hAnsi="Verdana"/>
          <w:sz w:val="20"/>
          <w:szCs w:val="20"/>
          <w:lang w:val="en-US"/>
        </w:rPr>
        <w:t>However, the crop</w:t>
      </w:r>
      <w:r w:rsidR="003F39BB">
        <w:rPr>
          <w:rFonts w:ascii="Verdana" w:hAnsi="Verdana"/>
          <w:sz w:val="20"/>
          <w:szCs w:val="20"/>
          <w:lang w:val="en-US"/>
        </w:rPr>
        <w:t>–</w:t>
      </w:r>
      <w:r w:rsidR="008A3021">
        <w:rPr>
          <w:rFonts w:ascii="Verdana" w:hAnsi="Verdana"/>
          <w:sz w:val="20"/>
          <w:szCs w:val="20"/>
          <w:lang w:val="en-US"/>
        </w:rPr>
        <w:t>cover crop</w:t>
      </w:r>
      <w:r w:rsidR="003F39BB">
        <w:rPr>
          <w:rFonts w:ascii="Verdana" w:hAnsi="Verdana"/>
          <w:sz w:val="20"/>
          <w:szCs w:val="20"/>
          <w:lang w:val="en-US"/>
        </w:rPr>
        <w:t>–</w:t>
      </w:r>
      <w:bookmarkStart w:id="0" w:name="_GoBack"/>
      <w:bookmarkEnd w:id="0"/>
      <w:r w:rsidR="008A3021">
        <w:rPr>
          <w:rFonts w:ascii="Verdana" w:hAnsi="Verdana"/>
          <w:sz w:val="20"/>
          <w:szCs w:val="20"/>
          <w:lang w:val="en-US"/>
        </w:rPr>
        <w:t xml:space="preserve">weeds interplay is sensitive to cropping measures and weather conditions. </w:t>
      </w:r>
      <w:r w:rsidR="00F34A12">
        <w:rPr>
          <w:rFonts w:ascii="Verdana" w:hAnsi="Verdana"/>
          <w:sz w:val="20"/>
          <w:szCs w:val="20"/>
          <w:lang w:val="en-US"/>
        </w:rPr>
        <w:t>Need for studying the most feasible cover crop practices is evident.</w:t>
      </w:r>
      <w:r w:rsidR="008A3021">
        <w:rPr>
          <w:rFonts w:ascii="Verdana" w:hAnsi="Verdana"/>
          <w:sz w:val="20"/>
          <w:szCs w:val="20"/>
          <w:lang w:val="en-US"/>
        </w:rPr>
        <w:t xml:space="preserve">  </w:t>
      </w:r>
      <w:r w:rsidR="00A9597D">
        <w:rPr>
          <w:rFonts w:ascii="Verdana" w:hAnsi="Verdana"/>
          <w:sz w:val="20"/>
          <w:szCs w:val="20"/>
          <w:lang w:val="en-US"/>
        </w:rPr>
        <w:t xml:space="preserve"> </w:t>
      </w:r>
    </w:p>
    <w:p w14:paraId="44E0A085" w14:textId="77777777" w:rsidR="00127041" w:rsidRDefault="00127041" w:rsidP="00810FF2">
      <w:pPr>
        <w:spacing w:line="240" w:lineRule="auto"/>
        <w:rPr>
          <w:rFonts w:ascii="Verdana" w:hAnsi="Verdana"/>
          <w:b/>
          <w:sz w:val="20"/>
          <w:szCs w:val="20"/>
          <w:lang w:val="en-US"/>
        </w:rPr>
      </w:pPr>
      <w:r w:rsidRPr="00127041">
        <w:rPr>
          <w:rFonts w:ascii="Verdana" w:hAnsi="Verdana"/>
          <w:b/>
          <w:sz w:val="20"/>
          <w:szCs w:val="20"/>
          <w:lang w:val="en-US"/>
        </w:rPr>
        <w:t>Key results and discussion</w:t>
      </w:r>
    </w:p>
    <w:p w14:paraId="787AF4AA" w14:textId="6E13BC62" w:rsidR="00453325" w:rsidRPr="0022518B" w:rsidRDefault="00364CCE" w:rsidP="00810FF2">
      <w:pPr>
        <w:spacing w:line="240" w:lineRule="auto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en-US"/>
        </w:rPr>
        <w:t>Red clover (</w:t>
      </w:r>
      <w:proofErr w:type="spellStart"/>
      <w:r w:rsidR="00480836">
        <w:rPr>
          <w:rFonts w:ascii="Verdana" w:hAnsi="Verdana"/>
          <w:i/>
          <w:sz w:val="20"/>
          <w:szCs w:val="20"/>
          <w:lang w:val="en-US"/>
        </w:rPr>
        <w:t>Trifolium</w:t>
      </w:r>
      <w:proofErr w:type="spellEnd"/>
      <w:r w:rsidR="00480836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="00480836">
        <w:rPr>
          <w:rFonts w:ascii="Verdana" w:hAnsi="Verdana"/>
          <w:i/>
          <w:sz w:val="20"/>
          <w:szCs w:val="20"/>
          <w:lang w:val="en-US"/>
        </w:rPr>
        <w:t>pra</w:t>
      </w:r>
      <w:r w:rsidRPr="00364CCE">
        <w:rPr>
          <w:rFonts w:ascii="Verdana" w:hAnsi="Verdana"/>
          <w:i/>
          <w:sz w:val="20"/>
          <w:szCs w:val="20"/>
          <w:lang w:val="en-US"/>
        </w:rPr>
        <w:t>tense</w:t>
      </w:r>
      <w:proofErr w:type="spellEnd"/>
      <w:r>
        <w:rPr>
          <w:rFonts w:ascii="Verdana" w:hAnsi="Verdana"/>
          <w:sz w:val="20"/>
          <w:szCs w:val="20"/>
          <w:lang w:val="en-US"/>
        </w:rPr>
        <w:t>), white clover (</w:t>
      </w:r>
      <w:proofErr w:type="spellStart"/>
      <w:r w:rsidRPr="00364CCE">
        <w:rPr>
          <w:rFonts w:ascii="Verdana" w:hAnsi="Verdana"/>
          <w:i/>
          <w:sz w:val="20"/>
          <w:szCs w:val="20"/>
          <w:lang w:val="en-US"/>
        </w:rPr>
        <w:t>Trifolium</w:t>
      </w:r>
      <w:proofErr w:type="spellEnd"/>
      <w:r w:rsidRPr="00364CCE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364CCE">
        <w:rPr>
          <w:rFonts w:ascii="Verdana" w:hAnsi="Verdana"/>
          <w:i/>
          <w:sz w:val="20"/>
          <w:szCs w:val="20"/>
          <w:lang w:val="en-US"/>
        </w:rPr>
        <w:t>repens</w:t>
      </w:r>
      <w:proofErr w:type="spellEnd"/>
      <w:r>
        <w:rPr>
          <w:rFonts w:ascii="Verdana" w:hAnsi="Verdana"/>
          <w:sz w:val="20"/>
          <w:szCs w:val="20"/>
          <w:lang w:val="en-US"/>
        </w:rPr>
        <w:t>) and timothy (</w:t>
      </w:r>
      <w:proofErr w:type="spellStart"/>
      <w:r w:rsidR="00480836">
        <w:rPr>
          <w:rFonts w:ascii="Verdana" w:hAnsi="Verdana"/>
          <w:i/>
          <w:sz w:val="20"/>
          <w:szCs w:val="20"/>
          <w:lang w:val="en-US"/>
        </w:rPr>
        <w:t>Phleum</w:t>
      </w:r>
      <w:proofErr w:type="spellEnd"/>
      <w:r w:rsidR="00480836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="00480836">
        <w:rPr>
          <w:rFonts w:ascii="Verdana" w:hAnsi="Verdana"/>
          <w:i/>
          <w:sz w:val="20"/>
          <w:szCs w:val="20"/>
          <w:lang w:val="en-US"/>
        </w:rPr>
        <w:t>pra</w:t>
      </w:r>
      <w:r w:rsidRPr="00364CCE">
        <w:rPr>
          <w:rFonts w:ascii="Verdana" w:hAnsi="Verdana"/>
          <w:i/>
          <w:sz w:val="20"/>
          <w:szCs w:val="20"/>
          <w:lang w:val="en-US"/>
        </w:rPr>
        <w:t>tense</w:t>
      </w:r>
      <w:proofErr w:type="spellEnd"/>
      <w:r w:rsidR="00480836">
        <w:rPr>
          <w:rFonts w:ascii="Verdana" w:hAnsi="Verdana"/>
          <w:sz w:val="20"/>
          <w:szCs w:val="20"/>
          <w:lang w:val="en-US"/>
        </w:rPr>
        <w:t>) have</w:t>
      </w:r>
      <w:r>
        <w:rPr>
          <w:rFonts w:ascii="Verdana" w:hAnsi="Verdana"/>
          <w:sz w:val="20"/>
          <w:szCs w:val="20"/>
          <w:lang w:val="en-US"/>
        </w:rPr>
        <w:t xml:space="preserve"> a good potential of preventing weed growth.</w:t>
      </w:r>
      <w:r w:rsidR="0022518B">
        <w:rPr>
          <w:rFonts w:ascii="Verdana" w:hAnsi="Verdana"/>
          <w:sz w:val="20"/>
          <w:szCs w:val="20"/>
          <w:lang w:val="en-US"/>
        </w:rPr>
        <w:t xml:space="preserve"> In the sowing year, the cover crops are</w:t>
      </w:r>
      <w:r w:rsidR="00480836">
        <w:rPr>
          <w:rFonts w:ascii="Verdana" w:hAnsi="Verdana"/>
          <w:sz w:val="20"/>
          <w:szCs w:val="20"/>
          <w:lang w:val="en-US"/>
        </w:rPr>
        <w:t xml:space="preserve"> too slow to effectively hamper</w:t>
      </w:r>
      <w:r w:rsidR="0022518B">
        <w:rPr>
          <w:rFonts w:ascii="Verdana" w:hAnsi="Verdana"/>
          <w:sz w:val="20"/>
          <w:szCs w:val="20"/>
          <w:lang w:val="en-US"/>
        </w:rPr>
        <w:t xml:space="preserve"> the emergence and early growth of annual weed species but later in the growing season they interfere with weeds. </w:t>
      </w:r>
      <w:r w:rsidR="001216B0">
        <w:rPr>
          <w:rFonts w:ascii="Verdana" w:hAnsi="Verdana"/>
          <w:sz w:val="20"/>
          <w:szCs w:val="20"/>
          <w:lang w:val="en-US"/>
        </w:rPr>
        <w:t>The competition continues after harvest and therefore the tillage should be delayed until late autumn or even to</w:t>
      </w:r>
      <w:r w:rsidR="00E54392">
        <w:rPr>
          <w:rFonts w:ascii="Verdana" w:hAnsi="Verdana"/>
          <w:sz w:val="20"/>
          <w:szCs w:val="20"/>
          <w:lang w:val="en-US"/>
        </w:rPr>
        <w:t xml:space="preserve"> the</w:t>
      </w:r>
      <w:r w:rsidR="001216B0">
        <w:rPr>
          <w:rFonts w:ascii="Verdana" w:hAnsi="Verdana"/>
          <w:sz w:val="20"/>
          <w:szCs w:val="20"/>
          <w:lang w:val="en-US"/>
        </w:rPr>
        <w:t xml:space="preserve"> next spring. </w:t>
      </w:r>
      <w:r w:rsidR="0022518B">
        <w:rPr>
          <w:rFonts w:ascii="Verdana" w:hAnsi="Verdana"/>
          <w:sz w:val="20"/>
          <w:szCs w:val="20"/>
          <w:lang w:val="en-US"/>
        </w:rPr>
        <w:t>The</w:t>
      </w:r>
      <w:r w:rsidR="00480836">
        <w:rPr>
          <w:rFonts w:ascii="Verdana" w:hAnsi="Verdana"/>
          <w:sz w:val="20"/>
          <w:szCs w:val="20"/>
          <w:lang w:val="en-US"/>
        </w:rPr>
        <w:t xml:space="preserve"> long-term effect was </w:t>
      </w:r>
      <w:r w:rsidR="0022518B">
        <w:rPr>
          <w:rFonts w:ascii="Verdana" w:hAnsi="Verdana"/>
          <w:sz w:val="20"/>
          <w:szCs w:val="20"/>
          <w:lang w:val="en-US"/>
        </w:rPr>
        <w:t>demonstrated in Latvian experiments</w:t>
      </w:r>
      <w:r w:rsidR="00480836">
        <w:rPr>
          <w:rFonts w:ascii="Verdana" w:hAnsi="Verdana"/>
          <w:sz w:val="20"/>
          <w:szCs w:val="20"/>
          <w:lang w:val="en-US"/>
        </w:rPr>
        <w:t xml:space="preserve"> one year after the cover crops; the weed density in cover crop plots was significantly lower than in the plots without cover crops</w:t>
      </w:r>
      <w:r w:rsidR="005E326B">
        <w:rPr>
          <w:rFonts w:ascii="Verdana" w:hAnsi="Verdana"/>
          <w:sz w:val="20"/>
          <w:szCs w:val="20"/>
          <w:lang w:val="en-US"/>
        </w:rPr>
        <w:t xml:space="preserve"> (Zarina et al. 2015)</w:t>
      </w:r>
      <w:r w:rsidR="00480836">
        <w:rPr>
          <w:rFonts w:ascii="Verdana" w:hAnsi="Verdana"/>
          <w:sz w:val="20"/>
          <w:szCs w:val="20"/>
          <w:lang w:val="en-US"/>
        </w:rPr>
        <w:t>. Based on the promising results</w:t>
      </w:r>
      <w:r w:rsidR="00D14BF1">
        <w:rPr>
          <w:rFonts w:ascii="Verdana" w:hAnsi="Verdana"/>
          <w:sz w:val="20"/>
          <w:szCs w:val="20"/>
          <w:lang w:val="en-US"/>
        </w:rPr>
        <w:t xml:space="preserve"> on cover crops in Finland</w:t>
      </w:r>
      <w:r w:rsidR="00480836">
        <w:rPr>
          <w:rFonts w:ascii="Verdana" w:hAnsi="Verdana"/>
          <w:sz w:val="20"/>
          <w:szCs w:val="20"/>
          <w:lang w:val="en-US"/>
        </w:rPr>
        <w:t>, f</w:t>
      </w:r>
      <w:r w:rsidR="0022518B">
        <w:rPr>
          <w:rFonts w:ascii="Verdana" w:hAnsi="Verdana"/>
          <w:sz w:val="20"/>
          <w:szCs w:val="20"/>
          <w:lang w:val="en-US"/>
        </w:rPr>
        <w:t xml:space="preserve">armers are encouraged to sow catch crops also in winter cereals early in the spring. </w:t>
      </w:r>
      <w:r w:rsidR="001216B0">
        <w:rPr>
          <w:rFonts w:ascii="Verdana" w:hAnsi="Verdana"/>
          <w:sz w:val="20"/>
          <w:szCs w:val="20"/>
          <w:lang w:val="en-US"/>
        </w:rPr>
        <w:t xml:space="preserve">Short-growing clover species do not cause significant yield reductions to the main crop. </w:t>
      </w:r>
      <w:r w:rsidR="00E54392">
        <w:rPr>
          <w:rFonts w:ascii="Verdana" w:hAnsi="Verdana"/>
          <w:sz w:val="20"/>
          <w:szCs w:val="20"/>
          <w:lang w:val="en-US"/>
        </w:rPr>
        <w:t>Tall-growing clover species (</w:t>
      </w:r>
      <w:r w:rsidR="00E54392" w:rsidRPr="005E326B">
        <w:rPr>
          <w:rFonts w:ascii="Verdana" w:hAnsi="Verdana"/>
          <w:i/>
          <w:sz w:val="20"/>
          <w:szCs w:val="20"/>
          <w:lang w:val="en-US"/>
        </w:rPr>
        <w:t xml:space="preserve">T. </w:t>
      </w:r>
      <w:proofErr w:type="spellStart"/>
      <w:r w:rsidR="00E54392" w:rsidRPr="005E326B">
        <w:rPr>
          <w:rFonts w:ascii="Verdana" w:hAnsi="Verdana"/>
          <w:i/>
          <w:sz w:val="20"/>
          <w:szCs w:val="20"/>
          <w:lang w:val="en-US"/>
        </w:rPr>
        <w:t>resupinatum</w:t>
      </w:r>
      <w:proofErr w:type="spellEnd"/>
      <w:r w:rsidR="00E54392">
        <w:rPr>
          <w:rFonts w:ascii="Verdana" w:hAnsi="Verdana"/>
          <w:sz w:val="20"/>
          <w:szCs w:val="20"/>
          <w:lang w:val="en-US"/>
        </w:rPr>
        <w:t xml:space="preserve"> and </w:t>
      </w:r>
      <w:r w:rsidR="00E54392" w:rsidRPr="005E326B">
        <w:rPr>
          <w:rFonts w:ascii="Verdana" w:hAnsi="Verdana"/>
          <w:i/>
          <w:sz w:val="20"/>
          <w:szCs w:val="20"/>
          <w:lang w:val="en-US"/>
        </w:rPr>
        <w:t xml:space="preserve">T. </w:t>
      </w:r>
      <w:proofErr w:type="spellStart"/>
      <w:r w:rsidR="00E54392" w:rsidRPr="005E326B">
        <w:rPr>
          <w:rFonts w:ascii="Verdana" w:hAnsi="Verdana"/>
          <w:i/>
          <w:sz w:val="20"/>
          <w:szCs w:val="20"/>
          <w:lang w:val="en-US"/>
        </w:rPr>
        <w:t>incarnatum</w:t>
      </w:r>
      <w:proofErr w:type="spellEnd"/>
      <w:r w:rsidR="00E54392">
        <w:rPr>
          <w:rFonts w:ascii="Verdana" w:hAnsi="Verdana"/>
          <w:sz w:val="20"/>
          <w:szCs w:val="20"/>
          <w:lang w:val="en-US"/>
        </w:rPr>
        <w:t xml:space="preserve">) and </w:t>
      </w:r>
      <w:proofErr w:type="spellStart"/>
      <w:r w:rsidR="00E54392" w:rsidRPr="005E326B">
        <w:rPr>
          <w:rFonts w:ascii="Verdana" w:hAnsi="Verdana"/>
          <w:i/>
          <w:sz w:val="20"/>
          <w:szCs w:val="20"/>
          <w:lang w:val="en-US"/>
        </w:rPr>
        <w:t>Melilotus</w:t>
      </w:r>
      <w:proofErr w:type="spellEnd"/>
      <w:r w:rsidR="00E54392" w:rsidRPr="005E326B">
        <w:rPr>
          <w:rFonts w:ascii="Verdana" w:hAnsi="Verdana"/>
          <w:i/>
          <w:sz w:val="20"/>
          <w:szCs w:val="20"/>
          <w:lang w:val="en-US"/>
        </w:rPr>
        <w:t xml:space="preserve"> alba </w:t>
      </w:r>
      <w:r w:rsidR="005E326B">
        <w:rPr>
          <w:rFonts w:ascii="Verdana" w:hAnsi="Verdana"/>
          <w:sz w:val="20"/>
          <w:szCs w:val="20"/>
          <w:lang w:val="en-US"/>
        </w:rPr>
        <w:t>were too competitive to the crop. Italian ryegrass (</w:t>
      </w:r>
      <w:proofErr w:type="spellStart"/>
      <w:r w:rsidR="005E326B" w:rsidRPr="005E326B">
        <w:rPr>
          <w:rFonts w:ascii="Verdana" w:hAnsi="Verdana"/>
          <w:i/>
          <w:sz w:val="20"/>
          <w:szCs w:val="20"/>
          <w:lang w:val="en-US"/>
        </w:rPr>
        <w:t>Lolium</w:t>
      </w:r>
      <w:proofErr w:type="spellEnd"/>
      <w:r w:rsidR="005E326B" w:rsidRPr="005E326B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="005E326B" w:rsidRPr="005E326B">
        <w:rPr>
          <w:rFonts w:ascii="Verdana" w:hAnsi="Verdana"/>
          <w:i/>
          <w:sz w:val="20"/>
          <w:szCs w:val="20"/>
          <w:lang w:val="en-US"/>
        </w:rPr>
        <w:t>multiflorum</w:t>
      </w:r>
      <w:proofErr w:type="spellEnd"/>
      <w:r w:rsidR="005E326B">
        <w:rPr>
          <w:rFonts w:ascii="Verdana" w:hAnsi="Verdana"/>
          <w:sz w:val="20"/>
          <w:szCs w:val="20"/>
          <w:lang w:val="en-US"/>
        </w:rPr>
        <w:t xml:space="preserve">) can also be too aggressive when sown </w:t>
      </w:r>
      <w:r w:rsidR="000B7128">
        <w:rPr>
          <w:rFonts w:ascii="Verdana" w:hAnsi="Verdana"/>
          <w:sz w:val="20"/>
          <w:szCs w:val="20"/>
          <w:lang w:val="en-US"/>
        </w:rPr>
        <w:t xml:space="preserve">at the same time </w:t>
      </w:r>
      <w:r w:rsidR="005E326B">
        <w:rPr>
          <w:rFonts w:ascii="Verdana" w:hAnsi="Verdana"/>
          <w:sz w:val="20"/>
          <w:szCs w:val="20"/>
          <w:lang w:val="en-US"/>
        </w:rPr>
        <w:t>with the spring cereal</w:t>
      </w:r>
      <w:r w:rsidR="000B7128">
        <w:rPr>
          <w:rFonts w:ascii="Verdana" w:hAnsi="Verdana"/>
          <w:sz w:val="20"/>
          <w:szCs w:val="20"/>
          <w:lang w:val="en-US"/>
        </w:rPr>
        <w:t>. Delayed sowing is recommended particularly in light soils.</w:t>
      </w:r>
      <w:r w:rsidR="0022518B" w:rsidRPr="0022518B">
        <w:rPr>
          <w:rFonts w:ascii="Verdana" w:hAnsi="Verdana"/>
          <w:sz w:val="20"/>
          <w:szCs w:val="20"/>
          <w:lang w:val="de-DE"/>
        </w:rPr>
        <w:t xml:space="preserve">  </w:t>
      </w:r>
      <w:r w:rsidRPr="0022518B">
        <w:rPr>
          <w:rFonts w:ascii="Verdana" w:hAnsi="Verdana"/>
          <w:sz w:val="20"/>
          <w:szCs w:val="20"/>
          <w:lang w:val="de-DE"/>
        </w:rPr>
        <w:t xml:space="preserve">  </w:t>
      </w:r>
    </w:p>
    <w:p w14:paraId="2009229C" w14:textId="77777777" w:rsidR="00453325" w:rsidRPr="00127041" w:rsidRDefault="00453325" w:rsidP="00810FF2">
      <w:pPr>
        <w:spacing w:line="24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How work was carried out?</w:t>
      </w:r>
    </w:p>
    <w:p w14:paraId="19817019" w14:textId="34A2B6F0" w:rsidR="00127041" w:rsidRDefault="0022518B" w:rsidP="00810FF2">
      <w:pPr>
        <w:spacing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Field experiments</w:t>
      </w:r>
      <w:r w:rsidR="00810FF2">
        <w:rPr>
          <w:rFonts w:ascii="Verdana" w:hAnsi="Verdana"/>
          <w:sz w:val="20"/>
          <w:szCs w:val="20"/>
          <w:lang w:val="en-US"/>
        </w:rPr>
        <w:t xml:space="preserve"> with cover crops </w:t>
      </w:r>
      <w:r w:rsidR="008669C5">
        <w:rPr>
          <w:rFonts w:ascii="Verdana" w:hAnsi="Verdana"/>
          <w:sz w:val="20"/>
          <w:szCs w:val="20"/>
          <w:lang w:val="en-US"/>
        </w:rPr>
        <w:t xml:space="preserve">in cereals </w:t>
      </w:r>
      <w:r w:rsidR="00577E7D">
        <w:rPr>
          <w:rFonts w:ascii="Verdana" w:hAnsi="Verdana"/>
          <w:sz w:val="20"/>
          <w:szCs w:val="20"/>
          <w:lang w:val="en-US"/>
        </w:rPr>
        <w:t>were</w:t>
      </w:r>
      <w:r w:rsidR="008669C5">
        <w:rPr>
          <w:rFonts w:ascii="Verdana" w:hAnsi="Verdana"/>
          <w:sz w:val="20"/>
          <w:szCs w:val="20"/>
          <w:lang w:val="en-US"/>
        </w:rPr>
        <w:t xml:space="preserve"> </w:t>
      </w:r>
      <w:r w:rsidR="00810FF2">
        <w:rPr>
          <w:rFonts w:ascii="Verdana" w:hAnsi="Verdana"/>
          <w:sz w:val="20"/>
          <w:szCs w:val="20"/>
          <w:lang w:val="en-US"/>
        </w:rPr>
        <w:t>carried out both in Finland and Latvia</w:t>
      </w:r>
      <w:r w:rsidR="008A3021">
        <w:rPr>
          <w:rFonts w:ascii="Verdana" w:hAnsi="Verdana"/>
          <w:sz w:val="20"/>
          <w:szCs w:val="20"/>
          <w:lang w:val="en-US"/>
        </w:rPr>
        <w:t xml:space="preserve">. Selected </w:t>
      </w:r>
      <w:r w:rsidR="008669C5">
        <w:rPr>
          <w:rFonts w:ascii="Verdana" w:hAnsi="Verdana"/>
          <w:sz w:val="20"/>
          <w:szCs w:val="20"/>
          <w:lang w:val="en-US"/>
        </w:rPr>
        <w:t>plant s</w:t>
      </w:r>
      <w:r w:rsidR="00577E7D">
        <w:rPr>
          <w:rFonts w:ascii="Verdana" w:hAnsi="Verdana"/>
          <w:sz w:val="20"/>
          <w:szCs w:val="20"/>
          <w:lang w:val="en-US"/>
        </w:rPr>
        <w:t>pecies (legumes and grasses) were</w:t>
      </w:r>
      <w:r w:rsidR="008669C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64CCE">
        <w:rPr>
          <w:rFonts w:ascii="Verdana" w:hAnsi="Verdana"/>
          <w:sz w:val="20"/>
          <w:szCs w:val="20"/>
          <w:lang w:val="en-US"/>
        </w:rPr>
        <w:t>under</w:t>
      </w:r>
      <w:r w:rsidR="008669C5">
        <w:rPr>
          <w:rFonts w:ascii="Verdana" w:hAnsi="Verdana"/>
          <w:sz w:val="20"/>
          <w:szCs w:val="20"/>
          <w:lang w:val="en-US"/>
        </w:rPr>
        <w:t>sown</w:t>
      </w:r>
      <w:proofErr w:type="spellEnd"/>
      <w:r w:rsidR="008669C5">
        <w:rPr>
          <w:rFonts w:ascii="Verdana" w:hAnsi="Verdana"/>
          <w:sz w:val="20"/>
          <w:szCs w:val="20"/>
          <w:lang w:val="en-US"/>
        </w:rPr>
        <w:t xml:space="preserve"> a</w:t>
      </w:r>
      <w:r w:rsidR="00364CCE">
        <w:rPr>
          <w:rFonts w:ascii="Verdana" w:hAnsi="Verdana"/>
          <w:sz w:val="20"/>
          <w:szCs w:val="20"/>
          <w:lang w:val="en-US"/>
        </w:rPr>
        <w:t>s cover crops either alone or as</w:t>
      </w:r>
      <w:r w:rsidR="005E326B">
        <w:rPr>
          <w:rFonts w:ascii="Verdana" w:hAnsi="Verdana"/>
          <w:sz w:val="20"/>
          <w:szCs w:val="20"/>
          <w:lang w:val="en-US"/>
        </w:rPr>
        <w:t xml:space="preserve"> mixtures.</w:t>
      </w:r>
      <w:r w:rsidR="00364CCE">
        <w:rPr>
          <w:rFonts w:ascii="Verdana" w:hAnsi="Verdana"/>
          <w:sz w:val="20"/>
          <w:szCs w:val="20"/>
          <w:lang w:val="en-US"/>
        </w:rPr>
        <w:t xml:space="preserve"> </w:t>
      </w:r>
      <w:r w:rsidR="00E54392">
        <w:rPr>
          <w:rFonts w:ascii="Verdana" w:hAnsi="Verdana"/>
          <w:sz w:val="20"/>
          <w:szCs w:val="20"/>
          <w:lang w:val="en-US"/>
        </w:rPr>
        <w:t xml:space="preserve">In Finnish experiments altogether 16 species </w:t>
      </w:r>
      <w:r w:rsidR="00AD64ED">
        <w:rPr>
          <w:rFonts w:ascii="Verdana" w:hAnsi="Verdana"/>
          <w:sz w:val="20"/>
          <w:szCs w:val="20"/>
          <w:lang w:val="en-US"/>
        </w:rPr>
        <w:t xml:space="preserve">in mixtures </w:t>
      </w:r>
      <w:r w:rsidR="00E54392">
        <w:rPr>
          <w:rFonts w:ascii="Verdana" w:hAnsi="Verdana"/>
          <w:sz w:val="20"/>
          <w:szCs w:val="20"/>
          <w:lang w:val="en-US"/>
        </w:rPr>
        <w:t xml:space="preserve">were evaluated. </w:t>
      </w:r>
      <w:r w:rsidR="00BF24E8">
        <w:rPr>
          <w:rFonts w:ascii="Verdana" w:hAnsi="Verdana"/>
          <w:sz w:val="20"/>
          <w:szCs w:val="20"/>
          <w:lang w:val="en-US"/>
        </w:rPr>
        <w:t xml:space="preserve">Benefits of cover crops were assessed by measuring weed growth and crop yield. </w:t>
      </w:r>
      <w:r w:rsidR="00F34A12">
        <w:rPr>
          <w:rFonts w:ascii="Verdana" w:hAnsi="Verdana"/>
          <w:sz w:val="20"/>
          <w:szCs w:val="20"/>
          <w:lang w:val="en-US"/>
        </w:rPr>
        <w:t xml:space="preserve">In Latvia, the subsequent effect was measured </w:t>
      </w:r>
      <w:r w:rsidR="00364CCE">
        <w:rPr>
          <w:rFonts w:ascii="Verdana" w:hAnsi="Verdana"/>
          <w:sz w:val="20"/>
          <w:szCs w:val="20"/>
          <w:lang w:val="en-US"/>
        </w:rPr>
        <w:t xml:space="preserve">one year later in grassland. </w:t>
      </w:r>
      <w:r w:rsidR="0047580E">
        <w:rPr>
          <w:rFonts w:ascii="Verdana" w:hAnsi="Verdana"/>
          <w:sz w:val="20"/>
          <w:szCs w:val="20"/>
          <w:lang w:val="en-US"/>
        </w:rPr>
        <w:t xml:space="preserve"> </w:t>
      </w:r>
      <w:r w:rsidR="008669C5">
        <w:rPr>
          <w:rFonts w:ascii="Verdana" w:hAnsi="Verdana"/>
          <w:sz w:val="20"/>
          <w:szCs w:val="20"/>
          <w:lang w:val="en-US"/>
        </w:rPr>
        <w:t xml:space="preserve"> </w:t>
      </w:r>
    </w:p>
    <w:p w14:paraId="15B6361E" w14:textId="77777777" w:rsidR="00127041" w:rsidRPr="00D14BF1" w:rsidRDefault="00127041" w:rsidP="00810FF2">
      <w:pPr>
        <w:spacing w:line="240" w:lineRule="auto"/>
        <w:rPr>
          <w:rFonts w:ascii="Verdana" w:hAnsi="Verdana"/>
          <w:b/>
          <w:sz w:val="18"/>
          <w:szCs w:val="18"/>
          <w:lang w:val="sv-SE"/>
        </w:rPr>
      </w:pPr>
      <w:r w:rsidRPr="00D14BF1">
        <w:rPr>
          <w:rFonts w:ascii="Verdana" w:hAnsi="Verdana"/>
          <w:b/>
          <w:sz w:val="18"/>
          <w:szCs w:val="18"/>
          <w:lang w:val="sv-SE"/>
        </w:rPr>
        <w:t xml:space="preserve">References </w:t>
      </w:r>
    </w:p>
    <w:p w14:paraId="0A46D7DF" w14:textId="77777777" w:rsidR="0022518B" w:rsidRPr="005E326B" w:rsidRDefault="0022518B" w:rsidP="001216B0">
      <w:pPr>
        <w:autoSpaceDE w:val="0"/>
        <w:autoSpaceDN w:val="0"/>
        <w:adjustRightInd w:val="0"/>
        <w:spacing w:after="128" w:line="269" w:lineRule="auto"/>
        <w:rPr>
          <w:rFonts w:ascii="Verdana" w:hAnsi="Verdana"/>
          <w:b/>
          <w:sz w:val="18"/>
          <w:szCs w:val="18"/>
          <w:lang w:val="de-DE"/>
        </w:rPr>
      </w:pPr>
      <w:r w:rsidRPr="004B33D3">
        <w:rPr>
          <w:rFonts w:ascii="Verdana" w:eastAsia="Calibri" w:hAnsi="Verdana" w:cs="Times New Roman"/>
          <w:bCs/>
          <w:color w:val="002060"/>
          <w:sz w:val="18"/>
          <w:szCs w:val="18"/>
          <w:lang w:val="sv-SE"/>
        </w:rPr>
        <w:t>Zarina, L.,</w:t>
      </w:r>
      <w:r w:rsidRPr="004B33D3">
        <w:rPr>
          <w:rFonts w:ascii="Verdana" w:eastAsia="Calibri" w:hAnsi="Verdana" w:cs="Times New Roman"/>
          <w:b/>
          <w:bCs/>
          <w:color w:val="002060"/>
          <w:sz w:val="18"/>
          <w:szCs w:val="18"/>
          <w:lang w:val="sv-SE"/>
        </w:rPr>
        <w:t xml:space="preserve"> </w:t>
      </w:r>
      <w:r w:rsidRPr="004B33D3">
        <w:rPr>
          <w:rFonts w:ascii="Verdana" w:eastAsia="Calibri" w:hAnsi="Verdana" w:cs="Times New Roman"/>
          <w:bCs/>
          <w:color w:val="002060"/>
          <w:sz w:val="18"/>
          <w:szCs w:val="18"/>
          <w:lang w:val="sv-SE"/>
        </w:rPr>
        <w:t xml:space="preserve">Gerowitt, B., Melander, B., Salonen, J., </w:t>
      </w:r>
      <w:proofErr w:type="spellStart"/>
      <w:r w:rsidRPr="004B33D3">
        <w:rPr>
          <w:rFonts w:ascii="Verdana" w:eastAsia="Calibri" w:hAnsi="Verdana" w:cs="Times New Roman"/>
          <w:bCs/>
          <w:color w:val="002060"/>
          <w:sz w:val="18"/>
          <w:szCs w:val="18"/>
          <w:lang w:val="sv-SE"/>
        </w:rPr>
        <w:t>Krawczuk</w:t>
      </w:r>
      <w:proofErr w:type="spellEnd"/>
      <w:r w:rsidRPr="004B33D3">
        <w:rPr>
          <w:rFonts w:ascii="Verdana" w:eastAsia="Calibri" w:hAnsi="Verdana" w:cs="Times New Roman"/>
          <w:bCs/>
          <w:color w:val="002060"/>
          <w:sz w:val="18"/>
          <w:szCs w:val="18"/>
          <w:lang w:val="sv-SE"/>
        </w:rPr>
        <w:t>, R., Verwijst, T. (2015</w:t>
      </w:r>
      <w:r w:rsidRPr="004B33D3">
        <w:rPr>
          <w:rFonts w:ascii="Verdana" w:eastAsia="Calibri" w:hAnsi="Verdana" w:cs="Times New Roman"/>
          <w:b/>
          <w:bCs/>
          <w:color w:val="002060"/>
          <w:sz w:val="18"/>
          <w:szCs w:val="18"/>
          <w:lang w:val="sv-SE"/>
        </w:rPr>
        <w:t xml:space="preserve">.)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Crop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diversification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for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weed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management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in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organic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arable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cropping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systems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.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Proceedings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of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the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10th International Scientific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and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Practical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 Conference. Environment. Technology. Resources,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Rezekne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, </w:t>
      </w:r>
      <w:proofErr w:type="spellStart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>Latvia</w:t>
      </w:r>
      <w:proofErr w:type="spellEnd"/>
      <w:r w:rsidRPr="005E326B">
        <w:rPr>
          <w:rFonts w:ascii="Verdana" w:eastAsia="Times New Roman" w:hAnsi="Verdana" w:cs="Times New Roman"/>
          <w:bCs/>
          <w:color w:val="002060"/>
          <w:sz w:val="18"/>
          <w:szCs w:val="18"/>
          <w:lang w:val="de-DE" w:eastAsia="de-DE"/>
        </w:rPr>
        <w:t xml:space="preserve">, Volume II, 333-336. </w:t>
      </w:r>
      <w:r w:rsidRPr="005E326B">
        <w:rPr>
          <w:rFonts w:ascii="Verdana" w:eastAsia="Times New Roman" w:hAnsi="Verdana" w:cs="Times New Roman"/>
          <w:color w:val="002060"/>
          <w:sz w:val="18"/>
          <w:szCs w:val="18"/>
          <w:lang w:val="de-DE" w:eastAsia="de-DE"/>
        </w:rPr>
        <w:t xml:space="preserve"> </w:t>
      </w:r>
      <w:hyperlink r:id="rId7" w:history="1">
        <w:r w:rsidRPr="005E326B">
          <w:rPr>
            <w:rFonts w:ascii="Verdana" w:eastAsia="Times New Roman" w:hAnsi="Verdana" w:cs="Times New Roman"/>
            <w:bCs/>
            <w:color w:val="002060"/>
            <w:sz w:val="18"/>
            <w:szCs w:val="18"/>
            <w:u w:val="single"/>
            <w:lang w:val="de-DE" w:eastAsia="de-DE"/>
          </w:rPr>
          <w:t>http://journals.ru.lv/index.php/ETR/article/view/274</w:t>
        </w:r>
      </w:hyperlink>
    </w:p>
    <w:sectPr w:rsidR="0022518B" w:rsidRPr="005E3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760F"/>
    <w:multiLevelType w:val="hybridMultilevel"/>
    <w:tmpl w:val="81169DE8"/>
    <w:lvl w:ilvl="0" w:tplc="9EBC2C28">
      <w:start w:val="1"/>
      <w:numFmt w:val="decimal"/>
      <w:lvlText w:val="%1."/>
      <w:lvlJc w:val="left"/>
      <w:pPr>
        <w:ind w:left="37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097" w:hanging="360"/>
      </w:pPr>
    </w:lvl>
    <w:lvl w:ilvl="2" w:tplc="0426001B" w:tentative="1">
      <w:start w:val="1"/>
      <w:numFmt w:val="lowerRoman"/>
      <w:lvlText w:val="%3."/>
      <w:lvlJc w:val="right"/>
      <w:pPr>
        <w:ind w:left="1817" w:hanging="180"/>
      </w:pPr>
    </w:lvl>
    <w:lvl w:ilvl="3" w:tplc="0426000F" w:tentative="1">
      <w:start w:val="1"/>
      <w:numFmt w:val="decimal"/>
      <w:lvlText w:val="%4."/>
      <w:lvlJc w:val="left"/>
      <w:pPr>
        <w:ind w:left="2537" w:hanging="360"/>
      </w:pPr>
    </w:lvl>
    <w:lvl w:ilvl="4" w:tplc="04260019" w:tentative="1">
      <w:start w:val="1"/>
      <w:numFmt w:val="lowerLetter"/>
      <w:lvlText w:val="%5."/>
      <w:lvlJc w:val="left"/>
      <w:pPr>
        <w:ind w:left="3257" w:hanging="360"/>
      </w:pPr>
    </w:lvl>
    <w:lvl w:ilvl="5" w:tplc="0426001B" w:tentative="1">
      <w:start w:val="1"/>
      <w:numFmt w:val="lowerRoman"/>
      <w:lvlText w:val="%6."/>
      <w:lvlJc w:val="right"/>
      <w:pPr>
        <w:ind w:left="3977" w:hanging="180"/>
      </w:pPr>
    </w:lvl>
    <w:lvl w:ilvl="6" w:tplc="0426000F" w:tentative="1">
      <w:start w:val="1"/>
      <w:numFmt w:val="decimal"/>
      <w:lvlText w:val="%7."/>
      <w:lvlJc w:val="left"/>
      <w:pPr>
        <w:ind w:left="4697" w:hanging="360"/>
      </w:pPr>
    </w:lvl>
    <w:lvl w:ilvl="7" w:tplc="04260019" w:tentative="1">
      <w:start w:val="1"/>
      <w:numFmt w:val="lowerLetter"/>
      <w:lvlText w:val="%8."/>
      <w:lvlJc w:val="left"/>
      <w:pPr>
        <w:ind w:left="5417" w:hanging="360"/>
      </w:pPr>
    </w:lvl>
    <w:lvl w:ilvl="8" w:tplc="0426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C"/>
    <w:rsid w:val="000B7128"/>
    <w:rsid w:val="00113294"/>
    <w:rsid w:val="001216B0"/>
    <w:rsid w:val="00127041"/>
    <w:rsid w:val="00162E76"/>
    <w:rsid w:val="001C6CD5"/>
    <w:rsid w:val="00206F00"/>
    <w:rsid w:val="0022518B"/>
    <w:rsid w:val="00340414"/>
    <w:rsid w:val="00342966"/>
    <w:rsid w:val="00364CCE"/>
    <w:rsid w:val="00395D2E"/>
    <w:rsid w:val="003B6ADA"/>
    <w:rsid w:val="003F39BB"/>
    <w:rsid w:val="003F48BC"/>
    <w:rsid w:val="0045209C"/>
    <w:rsid w:val="00453325"/>
    <w:rsid w:val="0047580E"/>
    <w:rsid w:val="00480836"/>
    <w:rsid w:val="004B33D3"/>
    <w:rsid w:val="00577E7D"/>
    <w:rsid w:val="005E326B"/>
    <w:rsid w:val="007C3E87"/>
    <w:rsid w:val="00810FF2"/>
    <w:rsid w:val="00834357"/>
    <w:rsid w:val="008669C5"/>
    <w:rsid w:val="008A3021"/>
    <w:rsid w:val="009A7878"/>
    <w:rsid w:val="00A9597D"/>
    <w:rsid w:val="00AD3030"/>
    <w:rsid w:val="00AD64ED"/>
    <w:rsid w:val="00AE3E28"/>
    <w:rsid w:val="00B125D9"/>
    <w:rsid w:val="00BE28E1"/>
    <w:rsid w:val="00BF24E8"/>
    <w:rsid w:val="00CE155C"/>
    <w:rsid w:val="00D14BF1"/>
    <w:rsid w:val="00D21A42"/>
    <w:rsid w:val="00E26D30"/>
    <w:rsid w:val="00E54392"/>
    <w:rsid w:val="00E94BE5"/>
    <w:rsid w:val="00EC105B"/>
    <w:rsid w:val="00EC1CDC"/>
    <w:rsid w:val="00F34A12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8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209C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EC1CDC"/>
    <w:rPr>
      <w:b/>
      <w:bCs/>
    </w:rPr>
  </w:style>
  <w:style w:type="paragraph" w:styleId="Liststycke">
    <w:name w:val="List Paragraph"/>
    <w:basedOn w:val="Normal"/>
    <w:uiPriority w:val="34"/>
    <w:qFormat/>
    <w:rsid w:val="0022518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62E7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2E76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2E76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2E7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2E7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2E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2E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kka.salonen@luke.fi" TargetMode="External"/><Relationship Id="rId7" Type="http://schemas.openxmlformats.org/officeDocument/2006/relationships/hyperlink" Target="http://journals.ru.lv/index.php/ETR/article/view/27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F374-6F43-5C43-AE64-04D40167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556</Words>
  <Characters>2950</Characters>
  <Application>Microsoft Macintosh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LUKE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kvo21</dc:creator>
  <cp:lastModifiedBy>Maria Wivstad</cp:lastModifiedBy>
  <cp:revision>7</cp:revision>
  <dcterms:created xsi:type="dcterms:W3CDTF">2017-05-14T09:13:00Z</dcterms:created>
  <dcterms:modified xsi:type="dcterms:W3CDTF">2017-05-18T11:21:00Z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-1352953312</vt:i4>
  </property>
  <property fmtid="{D5CDD505-2E9C-101B-9397-08002B2CF9AE}" pid="3" name="_NewReviewCycle">
    <vt:lpwstr/>
  </property>
  <property fmtid="{D5CDD505-2E9C-101B-9397-08002B2CF9AE}" pid="4" name="_EmailSubject">
    <vt:lpwstr>NJF 2017 paper accepted with minor changes</vt:lpwstr>
  </property>
  <property fmtid="{D5CDD505-2E9C-101B-9397-08002B2CF9AE}" pid="5" name="_AuthorEmail">
    <vt:lpwstr>jukka.salonen@luke.fi</vt:lpwstr>
  </property>
  <property fmtid="{D5CDD505-2E9C-101B-9397-08002B2CF9AE}" pid="6" name="_AuthorEmailDisplayName">
    <vt:lpwstr>Salonen Jukka (Luke)</vt:lpwstr>
  </property>
</Properties>
</file>