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96" w:rsidRPr="00FF7F96" w:rsidRDefault="00992C1B" w:rsidP="00FF7F96">
      <w:pPr>
        <w:jc w:val="center"/>
        <w:rPr>
          <w:rFonts w:ascii="Calibri" w:hAnsi="Calibri" w:cs="Ayuthaya"/>
          <w:b/>
          <w:sz w:val="32"/>
          <w:lang w:val="en-US"/>
        </w:rPr>
      </w:pPr>
      <w:r>
        <w:rPr>
          <w:rFonts w:ascii="Calibri" w:hAnsi="Calibri" w:cs="Ayuthaya"/>
          <w:b/>
          <w:sz w:val="32"/>
          <w:lang w:val="en-US"/>
        </w:rPr>
        <w:t>Inclusion of c</w:t>
      </w:r>
      <w:r w:rsidR="007E474D">
        <w:rPr>
          <w:rFonts w:ascii="Calibri" w:hAnsi="Calibri" w:cs="Ayuthaya"/>
          <w:b/>
          <w:sz w:val="32"/>
          <w:lang w:val="en-US"/>
        </w:rPr>
        <w:t xml:space="preserve">araway </w:t>
      </w:r>
      <w:r w:rsidR="000535D1">
        <w:rPr>
          <w:rFonts w:ascii="Calibri" w:hAnsi="Calibri" w:cs="Ayuthaya"/>
          <w:b/>
          <w:sz w:val="32"/>
          <w:lang w:val="en-US"/>
        </w:rPr>
        <w:t xml:space="preserve">in </w:t>
      </w:r>
      <w:r w:rsidR="00A35011">
        <w:rPr>
          <w:rFonts w:ascii="Calibri" w:hAnsi="Calibri" w:cs="Ayuthaya"/>
          <w:b/>
          <w:sz w:val="32"/>
          <w:lang w:val="en-US"/>
        </w:rPr>
        <w:t xml:space="preserve">the </w:t>
      </w:r>
      <w:r w:rsidR="000535D1">
        <w:rPr>
          <w:rFonts w:ascii="Calibri" w:hAnsi="Calibri" w:cs="Ayuthaya"/>
          <w:b/>
          <w:sz w:val="32"/>
          <w:lang w:val="en-US"/>
        </w:rPr>
        <w:t xml:space="preserve">ryegrass-red clover mixture </w:t>
      </w:r>
      <w:r w:rsidR="001B2D8E">
        <w:rPr>
          <w:rFonts w:ascii="Calibri" w:hAnsi="Calibri" w:cs="Ayuthaya"/>
          <w:b/>
          <w:sz w:val="32"/>
          <w:lang w:val="en-US"/>
        </w:rPr>
        <w:t>modifies</w:t>
      </w:r>
      <w:r w:rsidR="007E474D">
        <w:rPr>
          <w:rFonts w:ascii="Calibri" w:hAnsi="Calibri" w:cs="Ayuthaya"/>
          <w:b/>
          <w:sz w:val="32"/>
          <w:lang w:val="en-US"/>
        </w:rPr>
        <w:t xml:space="preserve"> </w:t>
      </w:r>
      <w:r>
        <w:rPr>
          <w:rFonts w:ascii="Calibri" w:hAnsi="Calibri" w:cs="Ayuthaya"/>
          <w:b/>
          <w:sz w:val="32"/>
          <w:lang w:val="en-US"/>
        </w:rPr>
        <w:t>soil mi</w:t>
      </w:r>
      <w:r w:rsidR="000535D1">
        <w:rPr>
          <w:rFonts w:ascii="Calibri" w:hAnsi="Calibri" w:cs="Ayuthaya"/>
          <w:b/>
          <w:sz w:val="32"/>
          <w:lang w:val="en-US"/>
        </w:rPr>
        <w:t>crobial community composition</w:t>
      </w:r>
      <w:r>
        <w:rPr>
          <w:rFonts w:ascii="Calibri" w:hAnsi="Calibri" w:cs="Ayuthaya"/>
          <w:b/>
          <w:sz w:val="32"/>
          <w:lang w:val="en-US"/>
        </w:rPr>
        <w:t xml:space="preserve"> </w:t>
      </w:r>
    </w:p>
    <w:p w:rsidR="00FF7F96" w:rsidRPr="00FF7F96" w:rsidRDefault="00FF7F96" w:rsidP="00FF7F96">
      <w:pPr>
        <w:rPr>
          <w:rFonts w:ascii="Calibri" w:hAnsi="Calibri" w:cs="Ayuthaya"/>
          <w:lang w:val="en-US"/>
        </w:rPr>
      </w:pPr>
    </w:p>
    <w:p w:rsidR="00FF7F96" w:rsidRPr="007434DD" w:rsidRDefault="007434DD" w:rsidP="00FF7F96">
      <w:pPr>
        <w:pStyle w:val="Authors"/>
        <w:rPr>
          <w:rFonts w:ascii="Calibri" w:hAnsi="Calibri" w:cs="Ayuthaya"/>
        </w:rPr>
      </w:pPr>
      <w:r w:rsidRPr="007434DD">
        <w:rPr>
          <w:rFonts w:ascii="Calibri" w:hAnsi="Calibri" w:cs="Ayuthaya"/>
          <w:u w:val="single"/>
        </w:rPr>
        <w:t>Wen-F</w:t>
      </w:r>
      <w:r w:rsidR="00121B08" w:rsidRPr="007434DD">
        <w:rPr>
          <w:rFonts w:ascii="Calibri" w:hAnsi="Calibri" w:cs="Ayuthaya"/>
          <w:u w:val="single"/>
        </w:rPr>
        <w:t>eng Cong</w:t>
      </w:r>
      <w:r w:rsidR="00FF7F96" w:rsidRPr="007434DD">
        <w:rPr>
          <w:rFonts w:ascii="Calibri" w:hAnsi="Calibri" w:cs="Ayuthaya"/>
        </w:rPr>
        <w:t xml:space="preserve">, </w:t>
      </w:r>
      <w:r w:rsidR="00574ACE">
        <w:rPr>
          <w:rFonts w:ascii="Calibri" w:hAnsi="Calibri" w:cs="Ayuthaya"/>
        </w:rPr>
        <w:t xml:space="preserve">Jingying Jing, Karen Søegaard, </w:t>
      </w:r>
      <w:r w:rsidRPr="007434DD">
        <w:rPr>
          <w:rFonts w:ascii="Calibri" w:hAnsi="Calibri" w:cs="Ayuthaya"/>
        </w:rPr>
        <w:t>Jørgen Eriksen</w:t>
      </w:r>
    </w:p>
    <w:p w:rsidR="00FF7F96" w:rsidRPr="007434DD" w:rsidRDefault="00FF7F96" w:rsidP="00FF7F96">
      <w:pPr>
        <w:jc w:val="center"/>
        <w:rPr>
          <w:rFonts w:ascii="Calibri" w:hAnsi="Calibri" w:cs="Ayuthaya"/>
          <w:sz w:val="22"/>
          <w:szCs w:val="22"/>
        </w:rPr>
      </w:pPr>
    </w:p>
    <w:p w:rsidR="00FF7F96" w:rsidRPr="00FF7F96" w:rsidRDefault="00FF7F96" w:rsidP="00F0033D">
      <w:pPr>
        <w:ind w:left="142" w:hanging="142"/>
        <w:jc w:val="center"/>
        <w:rPr>
          <w:rFonts w:ascii="Calibri" w:hAnsi="Calibri" w:cs="Ayuthaya"/>
          <w:sz w:val="22"/>
          <w:szCs w:val="22"/>
          <w:lang w:val="en-US"/>
        </w:rPr>
      </w:pPr>
      <w:r w:rsidRPr="00FF7F96">
        <w:rPr>
          <w:rFonts w:ascii="Calibri" w:hAnsi="Calibri" w:cs="Ayuthaya"/>
          <w:sz w:val="22"/>
          <w:szCs w:val="22"/>
          <w:lang w:val="en-US"/>
        </w:rPr>
        <w:t xml:space="preserve">Department of </w:t>
      </w:r>
      <w:r w:rsidR="007434DD">
        <w:rPr>
          <w:rFonts w:ascii="Calibri" w:hAnsi="Calibri" w:cs="Ayuthaya"/>
          <w:sz w:val="22"/>
          <w:szCs w:val="22"/>
          <w:lang w:val="en-US"/>
        </w:rPr>
        <w:t>Agroecology</w:t>
      </w:r>
      <w:r w:rsidRPr="00FF7F96">
        <w:rPr>
          <w:rFonts w:ascii="Calibri" w:hAnsi="Calibri" w:cs="Ayuthaya"/>
          <w:sz w:val="22"/>
          <w:szCs w:val="22"/>
          <w:lang w:val="en-US"/>
        </w:rPr>
        <w:t xml:space="preserve">, </w:t>
      </w:r>
      <w:r w:rsidR="00C92D24">
        <w:rPr>
          <w:rFonts w:ascii="Calibri" w:hAnsi="Calibri" w:cs="Ayuthaya"/>
          <w:sz w:val="22"/>
          <w:szCs w:val="22"/>
          <w:lang w:val="en-US"/>
        </w:rPr>
        <w:t xml:space="preserve">Aarhus University, </w:t>
      </w:r>
      <w:r w:rsidR="00E17548" w:rsidRPr="00E17548">
        <w:rPr>
          <w:rFonts w:ascii="Calibri" w:hAnsi="Calibri" w:cs="Ayuthaya"/>
          <w:sz w:val="22"/>
          <w:szCs w:val="22"/>
          <w:lang w:val="en-US"/>
        </w:rPr>
        <w:t>Blichers Allé 20</w:t>
      </w:r>
      <w:r w:rsidRPr="00FF7F96">
        <w:rPr>
          <w:rFonts w:ascii="Calibri" w:hAnsi="Calibri" w:cs="Ayuthaya"/>
          <w:sz w:val="22"/>
          <w:szCs w:val="22"/>
          <w:lang w:val="en-US"/>
        </w:rPr>
        <w:t xml:space="preserve">, </w:t>
      </w:r>
      <w:r w:rsidR="00E17548">
        <w:rPr>
          <w:rFonts w:ascii="Calibri" w:hAnsi="Calibri" w:cs="Ayuthaya"/>
          <w:sz w:val="22"/>
          <w:szCs w:val="22"/>
          <w:lang w:val="en-US"/>
        </w:rPr>
        <w:t>Tjele</w:t>
      </w:r>
      <w:r w:rsidRPr="00FF7F96">
        <w:rPr>
          <w:rFonts w:ascii="Calibri" w:hAnsi="Calibri" w:cs="Ayuthaya"/>
          <w:sz w:val="22"/>
          <w:szCs w:val="22"/>
          <w:lang w:val="en-US"/>
        </w:rPr>
        <w:t xml:space="preserve">, </w:t>
      </w:r>
      <w:r w:rsidR="00E17548">
        <w:rPr>
          <w:rFonts w:ascii="Calibri" w:hAnsi="Calibri" w:cs="Ayuthaya"/>
          <w:sz w:val="22"/>
          <w:szCs w:val="22"/>
          <w:lang w:val="en-US"/>
        </w:rPr>
        <w:t>8830</w:t>
      </w:r>
      <w:r w:rsidRPr="00FF7F96">
        <w:rPr>
          <w:rFonts w:ascii="Calibri" w:hAnsi="Calibri" w:cs="Ayuthaya"/>
          <w:sz w:val="22"/>
          <w:szCs w:val="22"/>
          <w:lang w:val="en-US"/>
        </w:rPr>
        <w:t xml:space="preserve">, </w:t>
      </w:r>
      <w:r w:rsidR="00E17548">
        <w:rPr>
          <w:rFonts w:ascii="Calibri" w:hAnsi="Calibri" w:cs="Ayuthaya"/>
          <w:sz w:val="22"/>
          <w:szCs w:val="22"/>
          <w:lang w:val="en-US"/>
        </w:rPr>
        <w:t>Denmark (</w:t>
      </w:r>
      <w:hyperlink r:id="rId8" w:history="1">
        <w:r w:rsidR="00B265BD" w:rsidRPr="004427E3">
          <w:rPr>
            <w:rStyle w:val="Hyperlink"/>
            <w:rFonts w:ascii="Calibri" w:hAnsi="Calibri" w:cs="Ayuthaya"/>
            <w:sz w:val="22"/>
            <w:szCs w:val="22"/>
            <w:lang w:val="en-US"/>
          </w:rPr>
          <w:t>wenfeng.cong@agro.au.dk</w:t>
        </w:r>
      </w:hyperlink>
      <w:r w:rsidR="00B265BD">
        <w:rPr>
          <w:rFonts w:ascii="Calibri" w:hAnsi="Calibri" w:cs="Ayuthaya"/>
          <w:sz w:val="22"/>
          <w:szCs w:val="22"/>
          <w:lang w:val="en-US"/>
        </w:rPr>
        <w:t xml:space="preserve">, </w:t>
      </w:r>
      <w:hyperlink r:id="rId9" w:history="1">
        <w:r w:rsidR="00C92D24" w:rsidRPr="00C92D24">
          <w:rPr>
            <w:rStyle w:val="Hyperlink"/>
            <w:rFonts w:ascii="Calibri" w:hAnsi="Calibri" w:cs="Ayuthaya"/>
            <w:sz w:val="22"/>
            <w:szCs w:val="22"/>
            <w:lang w:val="en-US"/>
          </w:rPr>
          <w:t>jorgen.eriksen@agro.au.dk</w:t>
        </w:r>
      </w:hyperlink>
      <w:r w:rsidR="00C65DAF">
        <w:rPr>
          <w:rFonts w:ascii="Calibri" w:hAnsi="Calibri" w:cs="Ayuthaya"/>
          <w:sz w:val="22"/>
          <w:szCs w:val="22"/>
          <w:lang w:val="en-US"/>
        </w:rPr>
        <w:t>)</w:t>
      </w:r>
    </w:p>
    <w:p w:rsidR="00913CFD" w:rsidRDefault="00913CFD">
      <w:pPr>
        <w:rPr>
          <w:b/>
          <w:lang w:val="en-US" w:eastAsia="zh-CN"/>
        </w:rPr>
      </w:pPr>
    </w:p>
    <w:p w:rsidR="00913CFD" w:rsidRPr="00913CFD" w:rsidRDefault="00913CFD" w:rsidP="00913CFD">
      <w:pPr>
        <w:pStyle w:val="Heading1"/>
        <w:rPr>
          <w:rFonts w:ascii="Calibri" w:hAnsi="Calibri" w:cs="Ayuthaya"/>
          <w:sz w:val="22"/>
          <w:szCs w:val="22"/>
          <w:lang w:val="en-US"/>
        </w:rPr>
      </w:pPr>
      <w:r w:rsidRPr="00913CFD">
        <w:rPr>
          <w:rFonts w:ascii="Calibri" w:hAnsi="Calibri" w:cs="Ayuthaya"/>
          <w:sz w:val="22"/>
          <w:szCs w:val="22"/>
          <w:lang w:val="en-US"/>
        </w:rPr>
        <w:t>INTRODUCTION</w:t>
      </w:r>
    </w:p>
    <w:p w:rsidR="00913CFD" w:rsidRPr="009C041E" w:rsidRDefault="00913CFD" w:rsidP="00913CFD">
      <w:pPr>
        <w:pStyle w:val="Text"/>
        <w:rPr>
          <w:rFonts w:ascii="Calibri" w:hAnsi="Calibri" w:cs="Ayuthaya"/>
          <w:sz w:val="22"/>
          <w:szCs w:val="22"/>
          <w:lang w:val="en-US"/>
        </w:rPr>
      </w:pPr>
      <w:r>
        <w:rPr>
          <w:rFonts w:ascii="Calibri" w:hAnsi="Calibri" w:cs="Ayuthaya"/>
          <w:sz w:val="22"/>
          <w:szCs w:val="22"/>
          <w:lang w:val="en-US"/>
        </w:rPr>
        <w:t>P</w:t>
      </w:r>
      <w:r w:rsidRPr="00913CFD">
        <w:rPr>
          <w:rFonts w:ascii="Calibri" w:hAnsi="Calibri" w:cs="Ayuthaya"/>
          <w:sz w:val="22"/>
          <w:szCs w:val="22"/>
          <w:lang w:val="en-US"/>
        </w:rPr>
        <w:t>erennial ryegrass-clover mixtures are widely used in intensively managed grasslands due t</w:t>
      </w:r>
      <w:r w:rsidR="00013A36">
        <w:rPr>
          <w:rFonts w:ascii="Calibri" w:hAnsi="Calibri" w:cs="Ayuthaya"/>
          <w:sz w:val="22"/>
          <w:szCs w:val="22"/>
          <w:lang w:val="en-US"/>
        </w:rPr>
        <w:t>o their high biomass production</w:t>
      </w:r>
      <w:r>
        <w:rPr>
          <w:rFonts w:ascii="Calibri" w:hAnsi="Calibri" w:cs="Ayuthaya"/>
          <w:sz w:val="22"/>
          <w:szCs w:val="22"/>
          <w:lang w:val="en-US"/>
        </w:rPr>
        <w:t>.</w:t>
      </w:r>
      <w:r w:rsidR="00013A36" w:rsidRPr="00013A36">
        <w:rPr>
          <w:lang w:val="en-US"/>
        </w:rPr>
        <w:t xml:space="preserve"> </w:t>
      </w:r>
      <w:r w:rsidR="00013A36">
        <w:rPr>
          <w:rFonts w:ascii="Calibri" w:hAnsi="Calibri" w:cs="Ayuthaya"/>
          <w:sz w:val="22"/>
          <w:szCs w:val="22"/>
          <w:lang w:val="en-US"/>
        </w:rPr>
        <w:t xml:space="preserve">Recent </w:t>
      </w:r>
      <w:r w:rsidR="00AD234E">
        <w:rPr>
          <w:rFonts w:ascii="Calibri" w:hAnsi="Calibri" w:cs="Ayuthaya"/>
          <w:sz w:val="22"/>
          <w:szCs w:val="22"/>
          <w:lang w:val="en-US"/>
        </w:rPr>
        <w:t xml:space="preserve">studies </w:t>
      </w:r>
      <w:r w:rsidR="00885B0F">
        <w:rPr>
          <w:rFonts w:ascii="Calibri" w:hAnsi="Calibri" w:cs="Ayuthaya"/>
          <w:sz w:val="22"/>
          <w:szCs w:val="22"/>
          <w:lang w:val="en-US"/>
        </w:rPr>
        <w:t xml:space="preserve">have </w:t>
      </w:r>
      <w:r w:rsidR="00AD234E">
        <w:rPr>
          <w:rFonts w:ascii="Calibri" w:hAnsi="Calibri" w:cs="Ayuthaya"/>
          <w:sz w:val="22"/>
          <w:szCs w:val="22"/>
          <w:lang w:val="en-US"/>
        </w:rPr>
        <w:t>show</w:t>
      </w:r>
      <w:r w:rsidR="00885B0F">
        <w:rPr>
          <w:rFonts w:ascii="Calibri" w:hAnsi="Calibri" w:cs="Ayuthaya"/>
          <w:sz w:val="22"/>
          <w:szCs w:val="22"/>
          <w:lang w:val="en-US"/>
        </w:rPr>
        <w:t>n</w:t>
      </w:r>
      <w:r w:rsidR="00AD234E">
        <w:rPr>
          <w:rFonts w:ascii="Calibri" w:hAnsi="Calibri" w:cs="Ayuthaya"/>
          <w:sz w:val="22"/>
          <w:szCs w:val="22"/>
          <w:lang w:val="en-US"/>
        </w:rPr>
        <w:t xml:space="preserve"> that inclusion of competitive forbs such as plantain </w:t>
      </w:r>
      <w:r w:rsidR="001739A8">
        <w:rPr>
          <w:rFonts w:ascii="Calibri" w:hAnsi="Calibri" w:cs="Ayuthaya"/>
          <w:sz w:val="22"/>
          <w:szCs w:val="22"/>
          <w:lang w:val="en-US"/>
        </w:rPr>
        <w:t>enhanced above</w:t>
      </w:r>
      <w:r w:rsidR="00BB42A2">
        <w:rPr>
          <w:rFonts w:ascii="Calibri" w:hAnsi="Calibri" w:cs="Ayuthaya"/>
          <w:sz w:val="22"/>
          <w:szCs w:val="22"/>
          <w:lang w:val="en-US"/>
        </w:rPr>
        <w:t>-and below-</w:t>
      </w:r>
      <w:r w:rsidR="00885B0F">
        <w:rPr>
          <w:rFonts w:ascii="Calibri" w:hAnsi="Calibri" w:cs="Ayuthaya"/>
          <w:sz w:val="22"/>
          <w:szCs w:val="22"/>
          <w:lang w:val="en-US"/>
        </w:rPr>
        <w:t>ground biomass of ryegrass-red c</w:t>
      </w:r>
      <w:r w:rsidR="00C92D24">
        <w:rPr>
          <w:rFonts w:ascii="Calibri" w:hAnsi="Calibri" w:cs="Ayuthaya"/>
          <w:sz w:val="22"/>
          <w:szCs w:val="22"/>
          <w:lang w:val="en-US"/>
        </w:rPr>
        <w:t>l</w:t>
      </w:r>
      <w:r w:rsidR="00885B0F">
        <w:rPr>
          <w:rFonts w:ascii="Calibri" w:hAnsi="Calibri" w:cs="Ayuthaya"/>
          <w:sz w:val="22"/>
          <w:szCs w:val="22"/>
          <w:lang w:val="en-US"/>
        </w:rPr>
        <w:t>over mixtures</w:t>
      </w:r>
      <w:r w:rsidR="001739A8">
        <w:rPr>
          <w:rFonts w:ascii="Calibri" w:hAnsi="Calibri" w:cs="Ayuthaya"/>
          <w:sz w:val="22"/>
          <w:szCs w:val="22"/>
          <w:lang w:val="en-US"/>
        </w:rPr>
        <w:t xml:space="preserve"> (Cong et al., 2016), </w:t>
      </w:r>
      <w:r w:rsidR="00BB42A2">
        <w:rPr>
          <w:rFonts w:ascii="Calibri" w:hAnsi="Calibri" w:cs="Ayuthaya"/>
          <w:sz w:val="22"/>
          <w:szCs w:val="22"/>
          <w:lang w:val="en-US"/>
        </w:rPr>
        <w:t xml:space="preserve">while </w:t>
      </w:r>
      <w:r w:rsidR="009126A9">
        <w:rPr>
          <w:rFonts w:ascii="Calibri" w:hAnsi="Calibri" w:cs="Ayuthaya"/>
          <w:sz w:val="22"/>
          <w:szCs w:val="22"/>
          <w:lang w:val="en-US"/>
        </w:rPr>
        <w:t xml:space="preserve">inclusion of </w:t>
      </w:r>
      <w:r w:rsidR="006E104F">
        <w:rPr>
          <w:rFonts w:ascii="Calibri" w:hAnsi="Calibri" w:cs="Ayuthaya"/>
          <w:sz w:val="22"/>
          <w:szCs w:val="22"/>
          <w:lang w:val="en-US"/>
        </w:rPr>
        <w:t xml:space="preserve">forbs such as </w:t>
      </w:r>
      <w:r w:rsidR="00BB42A2">
        <w:rPr>
          <w:rFonts w:ascii="Calibri" w:hAnsi="Calibri" w:cs="Ayuthaya"/>
          <w:sz w:val="22"/>
          <w:szCs w:val="22"/>
          <w:lang w:val="en-US"/>
        </w:rPr>
        <w:t>caraway</w:t>
      </w:r>
      <w:r w:rsidR="009126A9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E04EC6">
        <w:rPr>
          <w:rFonts w:ascii="Calibri" w:hAnsi="Calibri" w:cs="Ayuthaya"/>
          <w:sz w:val="22"/>
          <w:szCs w:val="22"/>
          <w:lang w:val="en-US"/>
        </w:rPr>
        <w:t xml:space="preserve">in the grass-clover mixture </w:t>
      </w:r>
      <w:r w:rsidR="009126A9">
        <w:rPr>
          <w:rFonts w:ascii="Calibri" w:hAnsi="Calibri" w:cs="Ayuthaya"/>
          <w:sz w:val="22"/>
          <w:szCs w:val="22"/>
          <w:lang w:val="en-US"/>
        </w:rPr>
        <w:t xml:space="preserve">largely maintained the </w:t>
      </w:r>
      <w:r w:rsidR="00E04EC6">
        <w:rPr>
          <w:rFonts w:ascii="Calibri" w:hAnsi="Calibri" w:cs="Ayuthaya"/>
          <w:sz w:val="22"/>
          <w:szCs w:val="22"/>
          <w:lang w:val="en-US"/>
        </w:rPr>
        <w:t>herbage yield</w:t>
      </w:r>
      <w:r w:rsidR="00885B0F">
        <w:rPr>
          <w:rFonts w:ascii="Calibri" w:hAnsi="Calibri" w:cs="Ayuthaya"/>
          <w:sz w:val="22"/>
          <w:szCs w:val="22"/>
          <w:lang w:val="en-US"/>
        </w:rPr>
        <w:t xml:space="preserve">. </w:t>
      </w:r>
      <w:r w:rsidR="00FC2C8E">
        <w:rPr>
          <w:rFonts w:ascii="Calibri" w:hAnsi="Calibri" w:cs="Ayuthaya"/>
          <w:sz w:val="22"/>
          <w:szCs w:val="22"/>
          <w:lang w:val="en-US"/>
        </w:rPr>
        <w:t>Meanwhile, inclusion of</w:t>
      </w:r>
      <w:r w:rsidR="00F509E6">
        <w:rPr>
          <w:rFonts w:ascii="Calibri" w:hAnsi="Calibri" w:cs="Ayuthaya"/>
          <w:sz w:val="22"/>
          <w:szCs w:val="22"/>
          <w:lang w:val="en-US"/>
        </w:rPr>
        <w:t xml:space="preserve"> forbs </w:t>
      </w:r>
      <w:r w:rsidR="00FC2C8E">
        <w:rPr>
          <w:rFonts w:ascii="Calibri" w:hAnsi="Calibri" w:cs="Ayuthaya"/>
          <w:sz w:val="22"/>
          <w:szCs w:val="22"/>
          <w:lang w:val="en-US"/>
        </w:rPr>
        <w:t>increase</w:t>
      </w:r>
      <w:r w:rsidR="004C653F">
        <w:rPr>
          <w:rFonts w:ascii="Calibri" w:hAnsi="Calibri" w:cs="Ayuthaya"/>
          <w:sz w:val="22"/>
          <w:szCs w:val="22"/>
          <w:lang w:val="en-US"/>
        </w:rPr>
        <w:t>s</w:t>
      </w:r>
      <w:r w:rsidR="00FC2C8E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1739A8">
        <w:rPr>
          <w:rFonts w:ascii="Calibri" w:hAnsi="Calibri" w:cs="Ayuthaya"/>
          <w:sz w:val="22"/>
          <w:szCs w:val="22"/>
          <w:lang w:val="en-US"/>
        </w:rPr>
        <w:t xml:space="preserve">plant </w:t>
      </w:r>
      <w:r w:rsidR="00FC2C8E">
        <w:rPr>
          <w:rFonts w:ascii="Calibri" w:hAnsi="Calibri" w:cs="Ayuthaya"/>
          <w:sz w:val="22"/>
          <w:szCs w:val="22"/>
          <w:lang w:val="en-US"/>
        </w:rPr>
        <w:t>litter</w:t>
      </w:r>
      <w:r w:rsidR="00CD126D">
        <w:rPr>
          <w:rFonts w:ascii="Calibri" w:hAnsi="Calibri" w:cs="Ayuthaya"/>
          <w:sz w:val="22"/>
          <w:szCs w:val="22"/>
          <w:lang w:val="en-US"/>
        </w:rPr>
        <w:t xml:space="preserve"> diversi</w:t>
      </w:r>
      <w:r w:rsidR="008A05D6">
        <w:rPr>
          <w:rFonts w:ascii="Calibri" w:hAnsi="Calibri" w:cs="Ayuthaya"/>
          <w:sz w:val="22"/>
          <w:szCs w:val="22"/>
          <w:lang w:val="en-US"/>
        </w:rPr>
        <w:t xml:space="preserve">ty, which </w:t>
      </w:r>
      <w:r w:rsidR="00B32BA2">
        <w:rPr>
          <w:rFonts w:ascii="Calibri" w:hAnsi="Calibri" w:cs="Ayuthaya"/>
          <w:sz w:val="22"/>
          <w:szCs w:val="22"/>
          <w:lang w:val="en-US"/>
        </w:rPr>
        <w:t>could change</w:t>
      </w:r>
      <w:r w:rsidR="00F20177">
        <w:rPr>
          <w:rFonts w:ascii="Calibri" w:hAnsi="Calibri" w:cs="Ayuthaya"/>
          <w:sz w:val="22"/>
          <w:szCs w:val="22"/>
          <w:lang w:val="en-US"/>
        </w:rPr>
        <w:t xml:space="preserve"> root quality</w:t>
      </w:r>
      <w:r w:rsidR="001417BD">
        <w:rPr>
          <w:rFonts w:ascii="Calibri" w:hAnsi="Calibri" w:cs="Ayuthaya"/>
          <w:sz w:val="22"/>
          <w:szCs w:val="22"/>
          <w:lang w:val="en-US"/>
        </w:rPr>
        <w:t xml:space="preserve"> of the plant </w:t>
      </w:r>
      <w:r w:rsidR="00B32BA2">
        <w:rPr>
          <w:rFonts w:ascii="Calibri" w:hAnsi="Calibri" w:cs="Ayuthaya"/>
          <w:sz w:val="22"/>
          <w:szCs w:val="22"/>
          <w:lang w:val="en-US"/>
        </w:rPr>
        <w:t>community</w:t>
      </w:r>
      <w:r w:rsidR="00F20177">
        <w:rPr>
          <w:rFonts w:ascii="Calibri" w:hAnsi="Calibri" w:cs="Ayuthaya"/>
          <w:sz w:val="22"/>
          <w:szCs w:val="22"/>
          <w:lang w:val="en-US"/>
        </w:rPr>
        <w:t>.</w:t>
      </w:r>
      <w:r w:rsidR="008A05D6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F20177">
        <w:rPr>
          <w:rFonts w:ascii="Calibri" w:hAnsi="Calibri" w:cs="Ayuthaya"/>
          <w:sz w:val="22"/>
          <w:szCs w:val="22"/>
          <w:lang w:val="en-US"/>
        </w:rPr>
        <w:t xml:space="preserve">Hence, changes in quantity and quality of root litter in forb-containing grass-clover mixtures </w:t>
      </w:r>
      <w:r w:rsidR="001417BD">
        <w:rPr>
          <w:rFonts w:ascii="Calibri" w:hAnsi="Calibri" w:cs="Ayuthaya"/>
          <w:sz w:val="22"/>
          <w:szCs w:val="22"/>
          <w:lang w:val="en-US"/>
        </w:rPr>
        <w:t>may potentially</w:t>
      </w:r>
      <w:r w:rsidR="0060632A">
        <w:rPr>
          <w:rFonts w:ascii="Calibri" w:hAnsi="Calibri" w:cs="Ayuthaya"/>
          <w:sz w:val="22"/>
          <w:szCs w:val="22"/>
          <w:lang w:val="en-US"/>
        </w:rPr>
        <w:t xml:space="preserve"> affect</w:t>
      </w:r>
      <w:r w:rsidR="008A05D6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F13EAC">
        <w:rPr>
          <w:rFonts w:ascii="Calibri" w:hAnsi="Calibri" w:cs="Ayuthaya"/>
          <w:sz w:val="22"/>
          <w:szCs w:val="22"/>
          <w:lang w:val="en-US"/>
        </w:rPr>
        <w:t xml:space="preserve">soil </w:t>
      </w:r>
      <w:r w:rsidR="0060632A">
        <w:rPr>
          <w:rFonts w:ascii="Calibri" w:hAnsi="Calibri" w:cs="Ayuthaya"/>
          <w:sz w:val="22"/>
          <w:szCs w:val="22"/>
          <w:lang w:val="en-US"/>
        </w:rPr>
        <w:t>microbial community structure</w:t>
      </w:r>
      <w:r w:rsidR="001F1B1B">
        <w:rPr>
          <w:rFonts w:ascii="Calibri" w:hAnsi="Calibri" w:cs="Ayuthaya"/>
          <w:sz w:val="22"/>
          <w:szCs w:val="22"/>
          <w:lang w:val="en-US"/>
        </w:rPr>
        <w:t>, biomass</w:t>
      </w:r>
      <w:r w:rsidR="00F13EAC">
        <w:rPr>
          <w:rFonts w:ascii="Calibri" w:hAnsi="Calibri" w:cs="Ayuthaya"/>
          <w:sz w:val="22"/>
          <w:szCs w:val="22"/>
          <w:lang w:val="en-US"/>
        </w:rPr>
        <w:t xml:space="preserve"> and associated ecosystem functions</w:t>
      </w:r>
      <w:r w:rsidR="00D4510B">
        <w:rPr>
          <w:rFonts w:ascii="Calibri" w:hAnsi="Calibri" w:cs="Ayuthaya"/>
          <w:sz w:val="22"/>
          <w:szCs w:val="22"/>
          <w:lang w:val="en-US"/>
        </w:rPr>
        <w:t>, but it is yet to be elucidated.</w:t>
      </w:r>
      <w:r w:rsidR="009C041E" w:rsidRPr="009C041E">
        <w:rPr>
          <w:lang w:val="en-US"/>
        </w:rPr>
        <w:t xml:space="preserve"> </w:t>
      </w:r>
      <w:r w:rsidR="00551AD9">
        <w:rPr>
          <w:rFonts w:ascii="Calibri" w:hAnsi="Calibri" w:cs="Ayuthaya"/>
          <w:sz w:val="22"/>
          <w:szCs w:val="22"/>
          <w:lang w:val="en-US"/>
        </w:rPr>
        <w:t xml:space="preserve">We hypothesized that </w:t>
      </w:r>
      <w:r w:rsidR="009C041E" w:rsidRPr="009C041E">
        <w:rPr>
          <w:rFonts w:ascii="Calibri" w:hAnsi="Calibri" w:cs="Ayuthaya"/>
          <w:sz w:val="22"/>
          <w:szCs w:val="22"/>
          <w:lang w:val="en-US"/>
        </w:rPr>
        <w:t xml:space="preserve">inclusion of </w:t>
      </w:r>
      <w:r w:rsidR="009C041E">
        <w:rPr>
          <w:rFonts w:ascii="Calibri" w:hAnsi="Calibri" w:cs="Ayuthaya"/>
          <w:sz w:val="22"/>
          <w:szCs w:val="22"/>
          <w:lang w:val="en-US"/>
        </w:rPr>
        <w:t>plantain</w:t>
      </w:r>
      <w:r w:rsidR="009C041E" w:rsidRPr="009C041E">
        <w:rPr>
          <w:rFonts w:ascii="Calibri" w:hAnsi="Calibri" w:cs="Ayuthaya"/>
          <w:sz w:val="22"/>
          <w:szCs w:val="22"/>
          <w:lang w:val="en-US"/>
        </w:rPr>
        <w:t xml:space="preserve"> in the gra</w:t>
      </w:r>
      <w:r w:rsidR="009C041E">
        <w:rPr>
          <w:rFonts w:ascii="Calibri" w:hAnsi="Calibri" w:cs="Ayuthaya"/>
          <w:sz w:val="22"/>
          <w:szCs w:val="22"/>
          <w:lang w:val="en-US"/>
        </w:rPr>
        <w:t>ss-clover mixture would enhance soil microbial biomas</w:t>
      </w:r>
      <w:r w:rsidR="001F1B1B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551AD9">
        <w:rPr>
          <w:rFonts w:ascii="Calibri" w:hAnsi="Calibri" w:cs="Ayuthaya"/>
          <w:sz w:val="22"/>
          <w:szCs w:val="22"/>
          <w:lang w:val="en-US"/>
        </w:rPr>
        <w:t xml:space="preserve">and functions </w:t>
      </w:r>
      <w:r w:rsidR="001F1B1B">
        <w:rPr>
          <w:rFonts w:ascii="Calibri" w:hAnsi="Calibri" w:cs="Ayuthaya"/>
          <w:sz w:val="22"/>
          <w:szCs w:val="22"/>
          <w:lang w:val="en-US"/>
        </w:rPr>
        <w:t>throu</w:t>
      </w:r>
      <w:r w:rsidR="00551AD9">
        <w:rPr>
          <w:rFonts w:ascii="Calibri" w:hAnsi="Calibri" w:cs="Ayuthaya"/>
          <w:sz w:val="22"/>
          <w:szCs w:val="22"/>
          <w:lang w:val="en-US"/>
        </w:rPr>
        <w:t>gh its high biomass production</w:t>
      </w:r>
      <w:r w:rsidR="00966F69">
        <w:rPr>
          <w:rFonts w:ascii="Calibri" w:hAnsi="Calibri" w:cs="Ayuthaya"/>
          <w:sz w:val="22"/>
          <w:szCs w:val="22"/>
          <w:lang w:val="en-US"/>
        </w:rPr>
        <w:t xml:space="preserve"> and thus belowground ca</w:t>
      </w:r>
      <w:r w:rsidR="00C92D24">
        <w:rPr>
          <w:rFonts w:ascii="Calibri" w:hAnsi="Calibri" w:cs="Ayuthaya"/>
          <w:sz w:val="22"/>
          <w:szCs w:val="22"/>
          <w:lang w:val="en-US"/>
        </w:rPr>
        <w:t>r</w:t>
      </w:r>
      <w:r w:rsidR="00966F69">
        <w:rPr>
          <w:rFonts w:ascii="Calibri" w:hAnsi="Calibri" w:cs="Ayuthaya"/>
          <w:sz w:val="22"/>
          <w:szCs w:val="22"/>
          <w:lang w:val="en-US"/>
        </w:rPr>
        <w:t xml:space="preserve">bon </w:t>
      </w:r>
      <w:r w:rsidR="00E81F86">
        <w:rPr>
          <w:rFonts w:ascii="Calibri" w:hAnsi="Calibri" w:cs="Ayuthaya"/>
          <w:sz w:val="22"/>
          <w:szCs w:val="22"/>
          <w:lang w:val="en-US"/>
        </w:rPr>
        <w:t xml:space="preserve">(C) </w:t>
      </w:r>
      <w:r w:rsidR="00966F69">
        <w:rPr>
          <w:rFonts w:ascii="Calibri" w:hAnsi="Calibri" w:cs="Ayuthaya"/>
          <w:sz w:val="22"/>
          <w:szCs w:val="22"/>
          <w:lang w:val="en-US"/>
        </w:rPr>
        <w:t>input</w:t>
      </w:r>
      <w:r w:rsidR="00551AD9">
        <w:rPr>
          <w:rFonts w:ascii="Calibri" w:hAnsi="Calibri" w:cs="Ayuthaya"/>
          <w:sz w:val="22"/>
          <w:szCs w:val="22"/>
          <w:lang w:val="en-US"/>
        </w:rPr>
        <w:t>.</w:t>
      </w:r>
    </w:p>
    <w:p w:rsidR="00826E57" w:rsidRDefault="00826E57" w:rsidP="00826E57">
      <w:pPr>
        <w:pStyle w:val="Heading1"/>
        <w:rPr>
          <w:rFonts w:ascii="Calibri" w:hAnsi="Calibri" w:cs="Ayuthaya"/>
          <w:sz w:val="22"/>
          <w:szCs w:val="22"/>
          <w:lang w:val="en-US"/>
        </w:rPr>
      </w:pPr>
    </w:p>
    <w:p w:rsidR="00826E57" w:rsidRPr="00826E57" w:rsidRDefault="00826E57" w:rsidP="00826E57">
      <w:pPr>
        <w:pStyle w:val="Heading1"/>
        <w:rPr>
          <w:rFonts w:ascii="Calibri" w:hAnsi="Calibri" w:cs="Ayuthaya"/>
          <w:sz w:val="22"/>
          <w:szCs w:val="22"/>
          <w:lang w:val="en-US"/>
        </w:rPr>
      </w:pPr>
      <w:r w:rsidRPr="00826E57">
        <w:rPr>
          <w:rFonts w:ascii="Calibri" w:hAnsi="Calibri" w:cs="Ayuthaya"/>
          <w:sz w:val="22"/>
          <w:szCs w:val="22"/>
          <w:lang w:val="en-US"/>
        </w:rPr>
        <w:t>METHODS</w:t>
      </w:r>
    </w:p>
    <w:p w:rsidR="00826E57" w:rsidRPr="00FB51A3" w:rsidRDefault="00826E57" w:rsidP="002873E9">
      <w:pPr>
        <w:pStyle w:val="Text"/>
        <w:rPr>
          <w:rFonts w:ascii="Calibri" w:hAnsi="Calibri" w:cs="Ayuthaya"/>
          <w:sz w:val="22"/>
          <w:szCs w:val="22"/>
          <w:lang w:val="en-US" w:eastAsia="zh-CN"/>
        </w:rPr>
      </w:pPr>
      <w:r>
        <w:rPr>
          <w:rFonts w:ascii="Calibri" w:hAnsi="Calibri" w:cs="Ayuthaya"/>
          <w:sz w:val="22"/>
          <w:szCs w:val="22"/>
          <w:lang w:val="en-US"/>
        </w:rPr>
        <w:t xml:space="preserve">A three-year </w:t>
      </w:r>
      <w:r w:rsidR="0020486C">
        <w:rPr>
          <w:rFonts w:ascii="Calibri" w:hAnsi="Calibri" w:cs="Ayuthaya"/>
          <w:sz w:val="22"/>
          <w:szCs w:val="22"/>
          <w:lang w:val="en-US"/>
        </w:rPr>
        <w:t>grassland</w:t>
      </w:r>
      <w:r w:rsidR="002873E9">
        <w:rPr>
          <w:rFonts w:ascii="Calibri" w:hAnsi="Calibri" w:cs="Ayuthaya"/>
          <w:sz w:val="22"/>
          <w:szCs w:val="22"/>
          <w:lang w:val="en-US"/>
        </w:rPr>
        <w:t xml:space="preserve"> experiment was esta</w:t>
      </w:r>
      <w:r w:rsidR="00C92D24">
        <w:rPr>
          <w:rFonts w:ascii="Calibri" w:hAnsi="Calibri" w:cs="Ayuthaya"/>
          <w:sz w:val="22"/>
          <w:szCs w:val="22"/>
          <w:lang w:val="en-US"/>
        </w:rPr>
        <w:t>b</w:t>
      </w:r>
      <w:r w:rsidR="002873E9">
        <w:rPr>
          <w:rFonts w:ascii="Calibri" w:hAnsi="Calibri" w:cs="Ayuthaya"/>
          <w:sz w:val="22"/>
          <w:szCs w:val="22"/>
          <w:lang w:val="en-US"/>
        </w:rPr>
        <w:t>lished in</w:t>
      </w:r>
      <w:r w:rsidR="002873E9" w:rsidRPr="002873E9">
        <w:rPr>
          <w:rFonts w:ascii="Calibri" w:hAnsi="Calibri" w:cs="Ayuthaya"/>
          <w:sz w:val="22"/>
          <w:szCs w:val="22"/>
          <w:lang w:val="en-US"/>
        </w:rPr>
        <w:t xml:space="preserve"> spring 2013</w:t>
      </w:r>
      <w:r w:rsidR="002873E9" w:rsidRPr="009F5E22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9F5E22" w:rsidRPr="009F5E22">
        <w:rPr>
          <w:rFonts w:ascii="Calibri" w:hAnsi="Calibri" w:cs="Ayuthaya"/>
          <w:sz w:val="22"/>
          <w:szCs w:val="22"/>
          <w:lang w:val="en-US"/>
        </w:rPr>
        <w:t xml:space="preserve">on </w:t>
      </w:r>
      <w:r w:rsidR="009F5E22" w:rsidRPr="00BE5633">
        <w:rPr>
          <w:rFonts w:ascii="Calibri" w:hAnsi="Calibri" w:cs="Ayuthaya"/>
          <w:sz w:val="22"/>
          <w:szCs w:val="22"/>
          <w:lang w:val="en-US"/>
        </w:rPr>
        <w:t>a loamy</w:t>
      </w:r>
      <w:r w:rsidR="009F5E22" w:rsidRPr="00BE5633">
        <w:rPr>
          <w:rFonts w:ascii="Calibri" w:hAnsi="Calibri" w:cs="Ayuthaya"/>
          <w:sz w:val="22"/>
          <w:szCs w:val="22"/>
          <w:lang w:val="en-US" w:eastAsia="zh-CN"/>
        </w:rPr>
        <w:t xml:space="preserve"> sandy</w:t>
      </w:r>
      <w:r w:rsidR="009F5E22">
        <w:rPr>
          <w:rFonts w:ascii="Calibri" w:hAnsi="Calibri" w:cs="Ayuthaya"/>
          <w:sz w:val="22"/>
          <w:szCs w:val="22"/>
          <w:lang w:val="en-US" w:eastAsia="zh-CN"/>
        </w:rPr>
        <w:t xml:space="preserve"> soil </w:t>
      </w:r>
      <w:r w:rsidR="00F672B5">
        <w:rPr>
          <w:rFonts w:ascii="Calibri" w:hAnsi="Calibri" w:cs="Ayuthaya"/>
          <w:sz w:val="22"/>
          <w:szCs w:val="22"/>
          <w:lang w:val="en-US" w:eastAsia="zh-CN"/>
        </w:rPr>
        <w:t xml:space="preserve">of </w:t>
      </w:r>
      <w:r w:rsidR="009F5E22">
        <w:rPr>
          <w:rFonts w:ascii="Calibri" w:hAnsi="Calibri" w:cs="Ayuthaya"/>
          <w:sz w:val="22"/>
          <w:szCs w:val="22"/>
          <w:lang w:val="en-US" w:eastAsia="zh-CN"/>
        </w:rPr>
        <w:t>2</w:t>
      </w:r>
      <w:r w:rsidR="009F5E22" w:rsidRPr="00FB51A3">
        <w:rPr>
          <w:rFonts w:ascii="Calibri" w:hAnsi="Calibri" w:cs="Ayuthaya"/>
          <w:sz w:val="22"/>
          <w:szCs w:val="22"/>
          <w:lang w:val="en-US" w:eastAsia="zh-CN"/>
        </w:rPr>
        <w:t xml:space="preserve">.0% organic C and 0.17% total </w:t>
      </w:r>
      <w:r w:rsidR="00057766">
        <w:rPr>
          <w:rFonts w:ascii="Calibri" w:hAnsi="Calibri" w:cs="Ayuthaya"/>
          <w:sz w:val="22"/>
          <w:szCs w:val="22"/>
          <w:lang w:val="en-US" w:eastAsia="zh-CN"/>
        </w:rPr>
        <w:t>nitrogen (N)</w:t>
      </w:r>
      <w:r w:rsidR="009F5E22" w:rsidRPr="00BE5633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20486C">
        <w:rPr>
          <w:rFonts w:ascii="Calibri" w:hAnsi="Calibri" w:cs="Ayuthaya"/>
          <w:sz w:val="22"/>
          <w:szCs w:val="22"/>
          <w:lang w:val="en-US"/>
        </w:rPr>
        <w:t>in</w:t>
      </w:r>
      <w:r w:rsidR="002873E9" w:rsidRPr="002873E9">
        <w:rPr>
          <w:rFonts w:ascii="Calibri" w:hAnsi="Calibri" w:cs="Ayuthaya"/>
          <w:sz w:val="22"/>
          <w:szCs w:val="22"/>
          <w:lang w:val="en-US"/>
        </w:rPr>
        <w:t xml:space="preserve"> Denmark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>. The experiment was laid out as a completely randomized block design</w:t>
      </w:r>
      <w:r w:rsidR="00A37922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>with species composition and fertilisation as the two fixed factors</w:t>
      </w:r>
      <w:r w:rsidR="00A37922">
        <w:rPr>
          <w:rFonts w:ascii="Calibri" w:hAnsi="Calibri" w:cs="Ayuthaya"/>
          <w:sz w:val="22"/>
          <w:szCs w:val="22"/>
          <w:lang w:val="en-US" w:eastAsia="zh-CN"/>
        </w:rPr>
        <w:t>, and with three replicates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. The </w:t>
      </w:r>
      <w:r w:rsidR="00A37922">
        <w:rPr>
          <w:rFonts w:ascii="Calibri" w:hAnsi="Calibri" w:cs="Ayuthaya"/>
          <w:sz w:val="22"/>
          <w:szCs w:val="22"/>
          <w:lang w:val="en-US" w:eastAsia="zh-CN"/>
        </w:rPr>
        <w:t xml:space="preserve">plant 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species composition consisted of </w:t>
      </w:r>
      <w:r w:rsidR="00D4695E">
        <w:rPr>
          <w:rFonts w:ascii="Calibri" w:hAnsi="Calibri" w:cs="Ayuthaya"/>
          <w:sz w:val="22"/>
          <w:szCs w:val="22"/>
          <w:lang w:val="en-US" w:eastAsia="zh-CN"/>
        </w:rPr>
        <w:t>four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 pure stands (perennial ryegrass, </w:t>
      </w:r>
      <w:r w:rsidR="00FB51A3" w:rsidRPr="001403BB">
        <w:rPr>
          <w:rFonts w:ascii="Calibri" w:hAnsi="Calibri" w:cs="Ayuthaya"/>
          <w:i/>
          <w:sz w:val="22"/>
          <w:szCs w:val="22"/>
          <w:lang w:val="en-US" w:eastAsia="zh-CN"/>
        </w:rPr>
        <w:t>Lolium perenne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 L.; red clover, </w:t>
      </w:r>
      <w:r w:rsidR="00FB51A3" w:rsidRPr="001403BB">
        <w:rPr>
          <w:rFonts w:ascii="Calibri" w:hAnsi="Calibri" w:cs="Ayuthaya"/>
          <w:i/>
          <w:sz w:val="22"/>
          <w:szCs w:val="22"/>
          <w:lang w:val="en-US" w:eastAsia="zh-CN"/>
        </w:rPr>
        <w:t>Trifolium pratense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 L.; </w:t>
      </w:r>
      <w:r w:rsidR="00D4695E">
        <w:rPr>
          <w:rFonts w:ascii="Calibri" w:hAnsi="Calibri" w:cs="Ayuthaya"/>
          <w:sz w:val="22"/>
          <w:szCs w:val="22"/>
          <w:lang w:val="en-US" w:eastAsia="zh-CN"/>
        </w:rPr>
        <w:t>c</w:t>
      </w:r>
      <w:r w:rsidR="004B0A96">
        <w:rPr>
          <w:rFonts w:ascii="Calibri" w:hAnsi="Calibri" w:cs="Ayuthaya"/>
          <w:sz w:val="22"/>
          <w:szCs w:val="22"/>
          <w:lang w:val="en-US" w:eastAsia="zh-CN"/>
        </w:rPr>
        <w:t xml:space="preserve">araway, </w:t>
      </w:r>
      <w:r w:rsidR="004B0A96" w:rsidRPr="001403BB">
        <w:rPr>
          <w:rFonts w:ascii="Calibri" w:hAnsi="Calibri" w:cs="Ayuthaya"/>
          <w:i/>
          <w:sz w:val="22"/>
          <w:szCs w:val="22"/>
          <w:lang w:val="en-US" w:eastAsia="zh-CN"/>
        </w:rPr>
        <w:t>Carum carvi</w:t>
      </w:r>
      <w:r w:rsidR="004B0A96">
        <w:rPr>
          <w:rFonts w:ascii="Calibri" w:hAnsi="Calibri" w:cs="Ayuthaya"/>
          <w:sz w:val="22"/>
          <w:szCs w:val="22"/>
          <w:lang w:val="en-US" w:eastAsia="zh-CN"/>
        </w:rPr>
        <w:t xml:space="preserve"> L. and 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plantain, </w:t>
      </w:r>
      <w:r w:rsidR="00FB51A3" w:rsidRPr="001403BB">
        <w:rPr>
          <w:rFonts w:ascii="Calibri" w:hAnsi="Calibri" w:cs="Ayuthaya"/>
          <w:i/>
          <w:sz w:val="22"/>
          <w:szCs w:val="22"/>
          <w:lang w:val="en-US" w:eastAsia="zh-CN"/>
        </w:rPr>
        <w:t>Plantago lanceolata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 L.)</w:t>
      </w:r>
      <w:r w:rsidR="001403BB">
        <w:rPr>
          <w:rFonts w:ascii="Calibri" w:hAnsi="Calibri" w:cs="Ayuthaya"/>
          <w:sz w:val="22"/>
          <w:szCs w:val="22"/>
          <w:lang w:val="en-US" w:eastAsia="zh-CN"/>
        </w:rPr>
        <w:t>,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A37922">
        <w:rPr>
          <w:rFonts w:ascii="Calibri" w:hAnsi="Calibri" w:cs="Ayuthaya"/>
          <w:sz w:val="22"/>
          <w:szCs w:val="22"/>
          <w:lang w:val="en-US" w:eastAsia="zh-CN"/>
        </w:rPr>
        <w:t xml:space="preserve">the </w:t>
      </w:r>
      <w:r w:rsidR="004B0A96">
        <w:rPr>
          <w:rFonts w:ascii="Calibri" w:hAnsi="Calibri" w:cs="Ayuthaya"/>
          <w:sz w:val="22"/>
          <w:szCs w:val="22"/>
          <w:lang w:val="en-US" w:eastAsia="zh-CN"/>
        </w:rPr>
        <w:t>rye</w:t>
      </w:r>
      <w:r w:rsidR="00D4695E">
        <w:rPr>
          <w:rFonts w:ascii="Calibri" w:hAnsi="Calibri" w:cs="Ayuthaya"/>
          <w:sz w:val="22"/>
          <w:szCs w:val="22"/>
          <w:lang w:val="en-US" w:eastAsia="zh-CN"/>
        </w:rPr>
        <w:t>grass-red clover mixture</w:t>
      </w:r>
      <w:r w:rsidR="00C92D24">
        <w:rPr>
          <w:rFonts w:ascii="Calibri" w:hAnsi="Calibri" w:cs="Ayuthaya"/>
          <w:sz w:val="22"/>
          <w:szCs w:val="22"/>
          <w:lang w:val="en-US" w:eastAsia="zh-CN"/>
        </w:rPr>
        <w:t xml:space="preserve"> alone or </w:t>
      </w:r>
      <w:r w:rsidR="004B0A96">
        <w:rPr>
          <w:rFonts w:ascii="Calibri" w:hAnsi="Calibri" w:cs="Ayuthaya"/>
          <w:sz w:val="22"/>
          <w:szCs w:val="22"/>
          <w:lang w:val="en-US" w:eastAsia="zh-CN"/>
        </w:rPr>
        <w:t>containing either caraway or plantain</w:t>
      </w:r>
      <w:r w:rsidR="0009609D">
        <w:rPr>
          <w:rFonts w:ascii="Calibri" w:hAnsi="Calibri" w:cs="Ayuthaya"/>
          <w:sz w:val="22"/>
          <w:szCs w:val="22"/>
          <w:lang w:val="en-US" w:eastAsia="zh-CN"/>
        </w:rPr>
        <w:t xml:space="preserve"> (Table 1). </w:t>
      </w:r>
      <w:r w:rsidR="00A37922">
        <w:rPr>
          <w:rFonts w:ascii="Calibri" w:hAnsi="Calibri" w:cs="Ayuthaya"/>
          <w:sz w:val="22"/>
          <w:szCs w:val="22"/>
          <w:lang w:val="en-US" w:eastAsia="zh-CN"/>
        </w:rPr>
        <w:t>T</w:t>
      </w:r>
      <w:r w:rsidR="009B5B6C">
        <w:rPr>
          <w:rFonts w:ascii="Calibri" w:hAnsi="Calibri" w:cs="Ayuthaya"/>
          <w:sz w:val="22"/>
          <w:szCs w:val="22"/>
          <w:lang w:val="en-US" w:eastAsia="zh-CN"/>
        </w:rPr>
        <w:t>wo levels of c</w:t>
      </w:r>
      <w:r w:rsidR="001F2255">
        <w:rPr>
          <w:rFonts w:ascii="Calibri" w:hAnsi="Calibri" w:cs="Ayuthaya"/>
          <w:sz w:val="22"/>
          <w:szCs w:val="22"/>
          <w:lang w:val="en-US" w:eastAsia="zh-CN"/>
        </w:rPr>
        <w:t>attle slurry (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>0 and 250 kg total N ha</w:t>
      </w:r>
      <w:r w:rsidR="00FB51A3" w:rsidRPr="004C220E">
        <w:rPr>
          <w:rFonts w:ascii="Calibri" w:hAnsi="Calibri" w:cs="Ayuthaya"/>
          <w:sz w:val="22"/>
          <w:szCs w:val="22"/>
          <w:vertAlign w:val="superscript"/>
          <w:lang w:val="en-US" w:eastAsia="zh-CN"/>
        </w:rPr>
        <w:t>-1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 yr</w:t>
      </w:r>
      <w:r w:rsidR="00FB51A3" w:rsidRPr="004C220E">
        <w:rPr>
          <w:rFonts w:ascii="Calibri" w:hAnsi="Calibri" w:cs="Ayuthaya"/>
          <w:sz w:val="22"/>
          <w:szCs w:val="22"/>
          <w:vertAlign w:val="superscript"/>
          <w:lang w:val="en-US" w:eastAsia="zh-CN"/>
        </w:rPr>
        <w:t>-1</w:t>
      </w:r>
      <w:r w:rsidR="001F2255">
        <w:rPr>
          <w:rFonts w:ascii="Calibri" w:hAnsi="Calibri" w:cs="Ayuthaya"/>
          <w:sz w:val="22"/>
          <w:szCs w:val="22"/>
          <w:lang w:val="en-US" w:eastAsia="zh-CN"/>
        </w:rPr>
        <w:t>)</w:t>
      </w:r>
      <w:r w:rsidR="00FB51A3" w:rsidRPr="00FB51A3">
        <w:rPr>
          <w:rFonts w:ascii="Calibri" w:hAnsi="Calibri" w:cs="Ayuthaya"/>
          <w:sz w:val="22"/>
          <w:szCs w:val="22"/>
          <w:lang w:val="en-US" w:eastAsia="zh-CN"/>
        </w:rPr>
        <w:t xml:space="preserve"> were applied.</w:t>
      </w:r>
    </w:p>
    <w:p w:rsidR="00773017" w:rsidRDefault="009B5B6C" w:rsidP="00D14020">
      <w:pPr>
        <w:pStyle w:val="Text"/>
        <w:rPr>
          <w:lang w:val="en-US"/>
        </w:rPr>
      </w:pPr>
      <w:r>
        <w:rPr>
          <w:rFonts w:ascii="Calibri" w:hAnsi="Calibri" w:cs="Ayuthaya"/>
          <w:sz w:val="22"/>
          <w:szCs w:val="22"/>
          <w:lang w:val="en-US" w:eastAsia="zh-CN"/>
        </w:rPr>
        <w:t xml:space="preserve">In </w:t>
      </w:r>
      <w:r w:rsidR="00992E8D" w:rsidRPr="00992E8D">
        <w:rPr>
          <w:rFonts w:ascii="Calibri" w:hAnsi="Calibri" w:cs="Ayuthaya"/>
          <w:sz w:val="22"/>
          <w:szCs w:val="22"/>
          <w:lang w:val="en-US" w:eastAsia="zh-CN"/>
        </w:rPr>
        <w:t>August</w:t>
      </w:r>
      <w:r w:rsidR="00AE449E">
        <w:rPr>
          <w:rFonts w:ascii="Calibri" w:hAnsi="Calibri" w:cs="Ayuthaya"/>
          <w:sz w:val="22"/>
          <w:szCs w:val="22"/>
          <w:lang w:val="en-US" w:eastAsia="zh-CN"/>
        </w:rPr>
        <w:t xml:space="preserve"> 2015</w:t>
      </w:r>
      <w:r w:rsidR="00992E8D" w:rsidRPr="00992E8D">
        <w:rPr>
          <w:rFonts w:ascii="Calibri" w:hAnsi="Calibri" w:cs="Ayuthaya"/>
          <w:sz w:val="22"/>
          <w:szCs w:val="22"/>
          <w:lang w:val="en-US" w:eastAsia="zh-CN"/>
        </w:rPr>
        <w:t xml:space="preserve">, eight soil cores (2 mm diameter) per plot </w:t>
      </w:r>
      <w:r w:rsidR="002553BB">
        <w:rPr>
          <w:rFonts w:ascii="Calibri" w:hAnsi="Calibri" w:cs="Ayuthaya"/>
          <w:sz w:val="22"/>
          <w:szCs w:val="22"/>
          <w:lang w:val="en-US" w:eastAsia="zh-CN"/>
        </w:rPr>
        <w:t>were</w:t>
      </w:r>
      <w:r w:rsidR="00992E8D" w:rsidRPr="00992E8D">
        <w:rPr>
          <w:rFonts w:ascii="Calibri" w:hAnsi="Calibri" w:cs="Ayuthaya"/>
          <w:sz w:val="22"/>
          <w:szCs w:val="22"/>
          <w:lang w:val="en-US" w:eastAsia="zh-CN"/>
        </w:rPr>
        <w:t xml:space="preserve"> taken </w:t>
      </w:r>
      <w:r w:rsidR="00C05F7E">
        <w:rPr>
          <w:rFonts w:ascii="Calibri" w:hAnsi="Calibri" w:cs="Ayuthaya"/>
          <w:sz w:val="22"/>
          <w:szCs w:val="22"/>
          <w:lang w:val="en-US" w:eastAsia="zh-CN"/>
        </w:rPr>
        <w:t xml:space="preserve">up to a depth of 10 cm, pooled and </w:t>
      </w:r>
      <w:r w:rsidR="00992E8D" w:rsidRPr="00992E8D">
        <w:rPr>
          <w:rFonts w:ascii="Calibri" w:hAnsi="Calibri" w:cs="Ayuthaya"/>
          <w:sz w:val="22"/>
          <w:szCs w:val="22"/>
          <w:lang w:val="en-US" w:eastAsia="zh-CN"/>
        </w:rPr>
        <w:t xml:space="preserve">sieved on a 4 mm-size mesh screen. </w:t>
      </w:r>
      <w:r w:rsidR="00D14020" w:rsidRPr="00D14020">
        <w:rPr>
          <w:rFonts w:ascii="Calibri" w:hAnsi="Calibri" w:cs="Ayuthaya"/>
          <w:sz w:val="22"/>
          <w:szCs w:val="22"/>
          <w:lang w:val="en-US" w:eastAsia="zh-CN"/>
        </w:rPr>
        <w:t xml:space="preserve">Soil microbial community structure and biomass </w:t>
      </w:r>
      <w:r w:rsidR="008528D4">
        <w:rPr>
          <w:rFonts w:ascii="Calibri" w:hAnsi="Calibri" w:cs="Ayuthaya"/>
          <w:sz w:val="22"/>
          <w:szCs w:val="22"/>
          <w:lang w:val="en-US" w:eastAsia="zh-CN"/>
        </w:rPr>
        <w:t>was</w:t>
      </w:r>
      <w:r w:rsidR="00D14020" w:rsidRPr="00D14020">
        <w:rPr>
          <w:rFonts w:ascii="Calibri" w:hAnsi="Calibri" w:cs="Ayuthaya"/>
          <w:sz w:val="22"/>
          <w:szCs w:val="22"/>
          <w:lang w:val="en-US" w:eastAsia="zh-CN"/>
        </w:rPr>
        <w:t xml:space="preserve"> examined by phospholipid fatty acids</w:t>
      </w:r>
      <w:r w:rsidR="00D026D9">
        <w:rPr>
          <w:rFonts w:ascii="Calibri" w:hAnsi="Calibri" w:cs="Ayuthaya"/>
          <w:sz w:val="22"/>
          <w:szCs w:val="22"/>
          <w:lang w:val="en-US" w:eastAsia="zh-CN"/>
        </w:rPr>
        <w:t xml:space="preserve"> (PLFAs)</w:t>
      </w:r>
      <w:r w:rsidR="00D14020" w:rsidRPr="00D14020">
        <w:rPr>
          <w:rFonts w:ascii="Calibri" w:hAnsi="Calibri" w:cs="Ayuthaya"/>
          <w:sz w:val="22"/>
          <w:szCs w:val="22"/>
          <w:lang w:val="en-US" w:eastAsia="zh-CN"/>
        </w:rPr>
        <w:t xml:space="preserve"> (</w:t>
      </w:r>
      <w:r w:rsidR="008528D4">
        <w:rPr>
          <w:rFonts w:ascii="Calibri" w:hAnsi="Calibri" w:cs="Ayuthaya"/>
          <w:sz w:val="22"/>
          <w:szCs w:val="22"/>
          <w:lang w:val="en-US" w:eastAsia="zh-CN"/>
        </w:rPr>
        <w:t>Petersen et al., 2002</w:t>
      </w:r>
      <w:r w:rsidR="00D14020" w:rsidRPr="00D14020">
        <w:rPr>
          <w:rFonts w:ascii="Calibri" w:hAnsi="Calibri" w:cs="Ayuthaya"/>
          <w:sz w:val="22"/>
          <w:szCs w:val="22"/>
          <w:lang w:val="en-US" w:eastAsia="zh-CN"/>
        </w:rPr>
        <w:t>).</w:t>
      </w:r>
      <w:r w:rsidR="007375D1" w:rsidRPr="007375D1">
        <w:rPr>
          <w:lang w:val="en-US"/>
        </w:rPr>
        <w:t xml:space="preserve"> </w:t>
      </w:r>
      <w:r w:rsidR="000F78C9" w:rsidRPr="000F78C9">
        <w:rPr>
          <w:rFonts w:ascii="Calibri" w:hAnsi="Calibri" w:cs="Ayuthaya"/>
          <w:sz w:val="22"/>
          <w:szCs w:val="22"/>
          <w:lang w:val="en-US" w:eastAsia="zh-CN"/>
        </w:rPr>
        <w:t xml:space="preserve">The bacterial PLFA biomass </w:t>
      </w:r>
      <w:r w:rsidR="000A0A0E">
        <w:rPr>
          <w:rFonts w:ascii="Calibri" w:hAnsi="Calibri" w:cs="Ayuthaya"/>
          <w:sz w:val="22"/>
          <w:szCs w:val="22"/>
          <w:lang w:val="en-US" w:eastAsia="zh-CN"/>
        </w:rPr>
        <w:t xml:space="preserve">was </w:t>
      </w:r>
      <w:r w:rsidR="000F78C9" w:rsidRPr="000F78C9">
        <w:rPr>
          <w:rFonts w:ascii="Calibri" w:hAnsi="Calibri" w:cs="Ayuthaya"/>
          <w:sz w:val="22"/>
          <w:szCs w:val="22"/>
          <w:lang w:val="en-US" w:eastAsia="zh-CN"/>
        </w:rPr>
        <w:t xml:space="preserve">represented by the following PLFA’s: i-15:0, a-15:0, 15:0, i-16:0, </w:t>
      </w:r>
      <w:r w:rsidR="005D40F3">
        <w:rPr>
          <w:rFonts w:ascii="Calibri" w:hAnsi="Calibri" w:cs="Ayuthaya"/>
          <w:sz w:val="22"/>
          <w:szCs w:val="22"/>
          <w:lang w:val="en-US" w:eastAsia="zh-CN"/>
        </w:rPr>
        <w:t>i-17:0, a-17:0, cy</w:t>
      </w:r>
      <w:r w:rsidR="00822720">
        <w:rPr>
          <w:rFonts w:ascii="Calibri" w:hAnsi="Calibri" w:cs="Ayuthaya"/>
          <w:sz w:val="22"/>
          <w:szCs w:val="22"/>
          <w:lang w:val="en-US" w:eastAsia="zh-CN"/>
        </w:rPr>
        <w:t>-17:0 and cy</w:t>
      </w:r>
      <w:r w:rsidR="006E2102">
        <w:rPr>
          <w:rFonts w:ascii="Calibri" w:hAnsi="Calibri" w:cs="Ayuthaya"/>
          <w:sz w:val="22"/>
          <w:szCs w:val="22"/>
          <w:lang w:val="en-US" w:eastAsia="zh-CN"/>
        </w:rPr>
        <w:t xml:space="preserve">-19:0 and the Fungal </w:t>
      </w:r>
      <w:r w:rsidR="000F78C9" w:rsidRPr="000F78C9">
        <w:rPr>
          <w:rFonts w:ascii="Calibri" w:hAnsi="Calibri" w:cs="Ayuthaya"/>
          <w:sz w:val="22"/>
          <w:szCs w:val="22"/>
          <w:lang w:val="en-US" w:eastAsia="zh-CN"/>
        </w:rPr>
        <w:t>PLFA biomass by 18:2ω6,9</w:t>
      </w:r>
      <w:r w:rsidR="00822720">
        <w:rPr>
          <w:rFonts w:ascii="Calibri" w:hAnsi="Calibri" w:cs="Ayuthaya"/>
          <w:sz w:val="22"/>
          <w:szCs w:val="22"/>
          <w:lang w:val="en-US" w:eastAsia="zh-CN"/>
        </w:rPr>
        <w:t xml:space="preserve">. </w:t>
      </w:r>
      <w:r w:rsidR="005E1C20">
        <w:rPr>
          <w:rFonts w:ascii="Calibri" w:hAnsi="Calibri" w:cs="Ayuthaya"/>
          <w:sz w:val="22"/>
          <w:szCs w:val="22"/>
          <w:lang w:val="en-US" w:eastAsia="zh-CN"/>
        </w:rPr>
        <w:t>M</w:t>
      </w:r>
      <w:r w:rsidR="007375D1" w:rsidRPr="007375D1">
        <w:rPr>
          <w:rFonts w:ascii="Calibri" w:hAnsi="Calibri" w:cs="Ayuthaya"/>
          <w:sz w:val="22"/>
          <w:szCs w:val="22"/>
          <w:lang w:val="en-US" w:eastAsia="zh-CN"/>
        </w:rPr>
        <w:t xml:space="preserve">icrobial activity </w:t>
      </w:r>
      <w:r w:rsidR="00C05F7E">
        <w:rPr>
          <w:rFonts w:ascii="Calibri" w:hAnsi="Calibri" w:cs="Ayuthaya"/>
          <w:sz w:val="22"/>
          <w:szCs w:val="22"/>
          <w:lang w:val="en-US" w:eastAsia="zh-CN"/>
        </w:rPr>
        <w:t>was</w:t>
      </w:r>
      <w:r w:rsidR="007375D1" w:rsidRPr="007375D1">
        <w:rPr>
          <w:rFonts w:ascii="Calibri" w:hAnsi="Calibri" w:cs="Ayuthaya"/>
          <w:sz w:val="22"/>
          <w:szCs w:val="22"/>
          <w:lang w:val="en-US" w:eastAsia="zh-CN"/>
        </w:rPr>
        <w:t xml:space="preserve"> assessed by β-glucosidase</w:t>
      </w:r>
      <w:r w:rsidR="00FF3E1E">
        <w:rPr>
          <w:rFonts w:ascii="Calibri" w:hAnsi="Calibri" w:cs="Ayuthaya"/>
          <w:sz w:val="22"/>
          <w:szCs w:val="22"/>
          <w:lang w:val="en-US" w:eastAsia="zh-CN"/>
        </w:rPr>
        <w:t xml:space="preserve"> enzyme activity</w:t>
      </w:r>
      <w:r w:rsidR="007375D1">
        <w:rPr>
          <w:rFonts w:ascii="Calibri" w:hAnsi="Calibri" w:cs="Ayuthaya"/>
          <w:sz w:val="22"/>
          <w:szCs w:val="22"/>
          <w:lang w:val="en-US" w:eastAsia="zh-CN"/>
        </w:rPr>
        <w:t>.</w:t>
      </w:r>
      <w:r w:rsidR="00FD2325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7375D1" w:rsidRPr="007375D1">
        <w:rPr>
          <w:rFonts w:ascii="Calibri" w:hAnsi="Calibri" w:cs="Ayuthaya"/>
          <w:sz w:val="22"/>
          <w:szCs w:val="22"/>
          <w:lang w:val="en-US" w:eastAsia="zh-CN"/>
        </w:rPr>
        <w:t xml:space="preserve">The net </w:t>
      </w:r>
      <w:r w:rsidR="00C05F7E">
        <w:rPr>
          <w:rFonts w:ascii="Calibri" w:hAnsi="Calibri" w:cs="Ayuthaya"/>
          <w:sz w:val="22"/>
          <w:szCs w:val="22"/>
          <w:lang w:val="en-US" w:eastAsia="zh-CN"/>
        </w:rPr>
        <w:t xml:space="preserve">soil </w:t>
      </w:r>
      <w:r w:rsidR="00FF3E1E">
        <w:rPr>
          <w:rFonts w:ascii="Calibri" w:hAnsi="Calibri" w:cs="Ayuthaya"/>
          <w:sz w:val="22"/>
          <w:szCs w:val="22"/>
          <w:lang w:val="en-US" w:eastAsia="zh-CN"/>
        </w:rPr>
        <w:t xml:space="preserve">N mineralization rate </w:t>
      </w:r>
      <w:r w:rsidR="0035268D">
        <w:rPr>
          <w:rFonts w:ascii="Calibri" w:hAnsi="Calibri" w:cs="Ayuthaya"/>
          <w:sz w:val="22"/>
          <w:szCs w:val="22"/>
          <w:lang w:val="en-US" w:eastAsia="zh-CN"/>
        </w:rPr>
        <w:t xml:space="preserve">was determined </w:t>
      </w:r>
      <w:r w:rsidR="005E1C20">
        <w:rPr>
          <w:rFonts w:ascii="Calibri" w:hAnsi="Calibri" w:cs="Ayuthaya"/>
          <w:sz w:val="22"/>
          <w:szCs w:val="22"/>
          <w:lang w:val="en-US" w:eastAsia="zh-CN"/>
        </w:rPr>
        <w:t>in</w:t>
      </w:r>
      <w:r w:rsidR="006E2102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5E1C20">
        <w:rPr>
          <w:rFonts w:ascii="Calibri" w:hAnsi="Calibri" w:cs="Ayuthaya"/>
          <w:sz w:val="22"/>
          <w:szCs w:val="22"/>
          <w:lang w:val="en-US" w:eastAsia="zh-CN"/>
        </w:rPr>
        <w:t xml:space="preserve">a </w:t>
      </w:r>
      <w:r w:rsidR="006E2102">
        <w:rPr>
          <w:rFonts w:ascii="Calibri" w:hAnsi="Calibri" w:cs="Ayuthaya"/>
          <w:sz w:val="22"/>
          <w:szCs w:val="22"/>
          <w:lang w:val="en-US" w:eastAsia="zh-CN"/>
        </w:rPr>
        <w:t>42-day incubation</w:t>
      </w:r>
      <w:r w:rsidR="005E1C20">
        <w:rPr>
          <w:rFonts w:ascii="Calibri" w:hAnsi="Calibri" w:cs="Ayuthaya"/>
          <w:sz w:val="22"/>
          <w:szCs w:val="22"/>
          <w:lang w:val="en-US" w:eastAsia="zh-CN"/>
        </w:rPr>
        <w:t xml:space="preserve"> experiment</w:t>
      </w:r>
      <w:r w:rsidR="00FD2325" w:rsidRPr="007375D1">
        <w:rPr>
          <w:rFonts w:ascii="Calibri" w:hAnsi="Calibri" w:cs="Ayuthaya"/>
          <w:sz w:val="22"/>
          <w:szCs w:val="22"/>
          <w:lang w:val="en-US" w:eastAsia="zh-CN"/>
        </w:rPr>
        <w:t>.</w:t>
      </w:r>
    </w:p>
    <w:p w:rsidR="00D14020" w:rsidRPr="00773017" w:rsidRDefault="00822838" w:rsidP="00D14020">
      <w:pPr>
        <w:pStyle w:val="Text"/>
        <w:rPr>
          <w:rFonts w:ascii="Calibri" w:hAnsi="Calibri" w:cs="Ayuthaya"/>
          <w:sz w:val="22"/>
          <w:szCs w:val="22"/>
          <w:lang w:val="en-US" w:eastAsia="zh-CN"/>
        </w:rPr>
      </w:pPr>
      <w:r>
        <w:rPr>
          <w:rFonts w:ascii="Calibri" w:hAnsi="Calibri" w:cs="Ayuthaya"/>
          <w:sz w:val="22"/>
          <w:szCs w:val="22"/>
          <w:lang w:val="en-US" w:eastAsia="zh-CN"/>
        </w:rPr>
        <w:t>The l</w:t>
      </w:r>
      <w:r w:rsidR="00773017" w:rsidRPr="00773017">
        <w:rPr>
          <w:rFonts w:ascii="Calibri" w:hAnsi="Calibri" w:cs="Ayuthaya"/>
          <w:sz w:val="22"/>
          <w:szCs w:val="22"/>
          <w:lang w:val="en-US" w:eastAsia="zh-CN"/>
        </w:rPr>
        <w:t xml:space="preserve">inear mixed-effects model </w:t>
      </w:r>
      <w:r>
        <w:rPr>
          <w:rFonts w:ascii="Calibri" w:hAnsi="Calibri" w:cs="Ayuthaya"/>
          <w:sz w:val="22"/>
          <w:szCs w:val="22"/>
          <w:lang w:val="en-US" w:eastAsia="zh-CN"/>
        </w:rPr>
        <w:t xml:space="preserve">was employed </w:t>
      </w:r>
      <w:r w:rsidR="00773017" w:rsidRPr="00773017">
        <w:rPr>
          <w:rFonts w:ascii="Calibri" w:hAnsi="Calibri" w:cs="Ayuthaya"/>
          <w:sz w:val="22"/>
          <w:szCs w:val="22"/>
          <w:lang w:val="en-US" w:eastAsia="zh-CN"/>
        </w:rPr>
        <w:t>with blocks as random effects and with specie</w:t>
      </w:r>
      <w:r>
        <w:rPr>
          <w:rFonts w:ascii="Calibri" w:hAnsi="Calibri" w:cs="Ayuthaya"/>
          <w:sz w:val="22"/>
          <w:szCs w:val="22"/>
          <w:lang w:val="en-US" w:eastAsia="zh-CN"/>
        </w:rPr>
        <w:t>s composition and</w:t>
      </w:r>
      <w:r w:rsidR="00773017" w:rsidRPr="00773017">
        <w:rPr>
          <w:rFonts w:ascii="Calibri" w:hAnsi="Calibri" w:cs="Ayuthaya"/>
          <w:sz w:val="22"/>
          <w:szCs w:val="22"/>
          <w:lang w:val="en-US" w:eastAsia="zh-CN"/>
        </w:rPr>
        <w:t xml:space="preserve"> fertilisation</w:t>
      </w:r>
      <w:r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773017" w:rsidRPr="00773017">
        <w:rPr>
          <w:rFonts w:ascii="Calibri" w:hAnsi="Calibri" w:cs="Ayuthaya"/>
          <w:sz w:val="22"/>
          <w:szCs w:val="22"/>
          <w:lang w:val="en-US" w:eastAsia="zh-CN"/>
        </w:rPr>
        <w:t>as fixed effects.</w:t>
      </w:r>
      <w:r w:rsidR="002B7F01" w:rsidRPr="002B7F01">
        <w:rPr>
          <w:lang w:val="en-US"/>
        </w:rPr>
        <w:t xml:space="preserve"> </w:t>
      </w:r>
      <w:r w:rsidR="002B7F01" w:rsidRPr="002B7F01">
        <w:rPr>
          <w:rFonts w:ascii="Calibri" w:hAnsi="Calibri" w:cs="Ayuthaya"/>
          <w:sz w:val="22"/>
          <w:szCs w:val="22"/>
          <w:lang w:val="en-US" w:eastAsia="zh-CN"/>
        </w:rPr>
        <w:t>Differences between</w:t>
      </w:r>
      <w:r w:rsidR="00293E01">
        <w:rPr>
          <w:rFonts w:ascii="Calibri" w:hAnsi="Calibri" w:cs="Ayuthaya"/>
          <w:sz w:val="22"/>
          <w:szCs w:val="22"/>
          <w:lang w:val="en-US" w:eastAsia="zh-CN"/>
        </w:rPr>
        <w:t xml:space="preserve"> treatments</w:t>
      </w:r>
      <w:r w:rsidR="002B7F01" w:rsidRPr="002B7F01">
        <w:rPr>
          <w:rFonts w:ascii="Calibri" w:hAnsi="Calibri" w:cs="Ayuthaya"/>
          <w:sz w:val="22"/>
          <w:szCs w:val="22"/>
          <w:lang w:val="en-US" w:eastAsia="zh-CN"/>
        </w:rPr>
        <w:t xml:space="preserve"> were tested using Tukey’s </w:t>
      </w:r>
      <w:r w:rsidR="002B7F01" w:rsidRPr="00293E01">
        <w:rPr>
          <w:rFonts w:ascii="Calibri" w:hAnsi="Calibri" w:cs="Ayuthaya"/>
          <w:i/>
          <w:sz w:val="22"/>
          <w:szCs w:val="22"/>
          <w:lang w:val="en-US" w:eastAsia="zh-CN"/>
        </w:rPr>
        <w:t>post hoc</w:t>
      </w:r>
      <w:r w:rsidR="002B7F01" w:rsidRPr="002B7F01">
        <w:rPr>
          <w:rFonts w:ascii="Calibri" w:hAnsi="Calibri" w:cs="Ayuthaya"/>
          <w:sz w:val="22"/>
          <w:szCs w:val="22"/>
          <w:lang w:val="en-US" w:eastAsia="zh-CN"/>
        </w:rPr>
        <w:t xml:space="preserve"> test. All analyses were performed using the </w:t>
      </w:r>
      <w:r w:rsidR="002B7F01" w:rsidRPr="000B5ADD">
        <w:rPr>
          <w:rFonts w:ascii="Calibri" w:hAnsi="Calibri" w:cs="Ayuthaya"/>
          <w:i/>
          <w:sz w:val="22"/>
          <w:szCs w:val="22"/>
          <w:lang w:val="en-US" w:eastAsia="zh-CN"/>
        </w:rPr>
        <w:t>R</w:t>
      </w:r>
      <w:r w:rsidR="002B7F01" w:rsidRPr="002B7F01">
        <w:rPr>
          <w:rFonts w:ascii="Calibri" w:hAnsi="Calibri" w:cs="Ayuthaya"/>
          <w:sz w:val="22"/>
          <w:szCs w:val="22"/>
          <w:lang w:val="en-US" w:eastAsia="zh-CN"/>
        </w:rPr>
        <w:t xml:space="preserve"> software version 3.2.2.</w:t>
      </w:r>
    </w:p>
    <w:p w:rsidR="00177DE6" w:rsidRDefault="00177DE6" w:rsidP="00480A8E">
      <w:pPr>
        <w:pStyle w:val="EndNoteBibliography"/>
        <w:spacing w:after="0"/>
        <w:rPr>
          <w:b/>
          <w:sz w:val="20"/>
          <w:szCs w:val="18"/>
          <w:lang w:val="en-US"/>
        </w:rPr>
      </w:pPr>
    </w:p>
    <w:p w:rsidR="002B7F01" w:rsidRPr="002B7F01" w:rsidRDefault="002B7F01" w:rsidP="002B7F01">
      <w:pPr>
        <w:pStyle w:val="Heading1"/>
        <w:rPr>
          <w:rFonts w:ascii="Calibri" w:hAnsi="Calibri" w:cs="Ayuthaya"/>
          <w:sz w:val="22"/>
          <w:szCs w:val="22"/>
          <w:lang w:val="en-US"/>
        </w:rPr>
      </w:pPr>
      <w:r w:rsidRPr="002B7F01">
        <w:rPr>
          <w:rFonts w:ascii="Calibri" w:hAnsi="Calibri" w:cs="Ayuthaya"/>
          <w:sz w:val="22"/>
          <w:szCs w:val="22"/>
          <w:lang w:val="en-US"/>
        </w:rPr>
        <w:t>RESULTS and discussion</w:t>
      </w:r>
    </w:p>
    <w:p w:rsidR="00217146" w:rsidRDefault="005424A6" w:rsidP="00217146">
      <w:pPr>
        <w:pStyle w:val="Text"/>
        <w:rPr>
          <w:rFonts w:ascii="Calibri" w:hAnsi="Calibri" w:cs="Ayuthaya"/>
          <w:sz w:val="22"/>
          <w:szCs w:val="22"/>
          <w:lang w:val="en-US" w:eastAsia="zh-CN"/>
        </w:rPr>
      </w:pPr>
      <w:r>
        <w:rPr>
          <w:rFonts w:ascii="Calibri" w:hAnsi="Calibri" w:cs="Ayuthaya"/>
          <w:sz w:val="22"/>
          <w:szCs w:val="22"/>
          <w:lang w:val="en-US"/>
        </w:rPr>
        <w:t xml:space="preserve">Rejecting our hypothesis, we found that </w:t>
      </w:r>
      <w:r w:rsidR="00AA2D52">
        <w:rPr>
          <w:rFonts w:ascii="Calibri" w:hAnsi="Calibri" w:cs="Ayuthaya"/>
          <w:sz w:val="22"/>
          <w:szCs w:val="22"/>
          <w:lang w:val="en-US"/>
        </w:rPr>
        <w:t xml:space="preserve">enhanced biomass by </w:t>
      </w:r>
      <w:r w:rsidR="00E81F86">
        <w:rPr>
          <w:rFonts w:ascii="Calibri" w:hAnsi="Calibri" w:cs="Ayuthaya"/>
          <w:sz w:val="22"/>
          <w:szCs w:val="22"/>
          <w:lang w:val="en-US"/>
        </w:rPr>
        <w:t>inclusion of plantain in grass-clover mixtures</w:t>
      </w:r>
      <w:r>
        <w:rPr>
          <w:rFonts w:ascii="Calibri" w:hAnsi="Calibri" w:cs="Ayuthaya"/>
          <w:sz w:val="22"/>
          <w:szCs w:val="22"/>
          <w:lang w:val="en-US"/>
        </w:rPr>
        <w:t xml:space="preserve"> did not </w:t>
      </w:r>
      <w:r w:rsidR="00EB0742">
        <w:rPr>
          <w:rFonts w:ascii="Calibri" w:hAnsi="Calibri" w:cs="Ayuthaya"/>
          <w:sz w:val="22"/>
          <w:szCs w:val="22"/>
          <w:lang w:val="en-US"/>
        </w:rPr>
        <w:t>significantly affect soil micobial community biomass, structure a</w:t>
      </w:r>
      <w:r w:rsidR="00E81F86">
        <w:rPr>
          <w:rFonts w:ascii="Calibri" w:hAnsi="Calibri" w:cs="Ayuthaya"/>
          <w:sz w:val="22"/>
          <w:szCs w:val="22"/>
          <w:lang w:val="en-US"/>
        </w:rPr>
        <w:t>nd functions related to C and N</w:t>
      </w:r>
      <w:r w:rsidR="0074046D">
        <w:rPr>
          <w:rFonts w:ascii="Calibri" w:hAnsi="Calibri" w:cs="Ayuthaya"/>
          <w:sz w:val="22"/>
          <w:szCs w:val="22"/>
          <w:lang w:val="en-US"/>
        </w:rPr>
        <w:t xml:space="preserve"> (</w:t>
      </w:r>
      <w:r w:rsidR="00645CC6">
        <w:rPr>
          <w:rFonts w:ascii="Calibri" w:hAnsi="Calibri" w:cs="Ayuthaya"/>
          <w:sz w:val="22"/>
          <w:szCs w:val="22"/>
          <w:lang w:val="en-US"/>
        </w:rPr>
        <w:t xml:space="preserve">Table 1 &amp; </w:t>
      </w:r>
      <w:r w:rsidR="0074046D">
        <w:rPr>
          <w:rFonts w:ascii="Calibri" w:hAnsi="Calibri" w:cs="Ayuthaya"/>
          <w:sz w:val="22"/>
          <w:szCs w:val="22"/>
          <w:lang w:val="en-US"/>
        </w:rPr>
        <w:t>Fig. 1)</w:t>
      </w:r>
      <w:r w:rsidR="006A0C2D">
        <w:rPr>
          <w:rFonts w:ascii="Calibri" w:hAnsi="Calibri" w:cs="Ayuthaya"/>
          <w:sz w:val="22"/>
          <w:szCs w:val="22"/>
          <w:lang w:val="en-US"/>
        </w:rPr>
        <w:t>.</w:t>
      </w:r>
      <w:r w:rsidR="00E81F86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057B35">
        <w:rPr>
          <w:rFonts w:ascii="Calibri" w:hAnsi="Calibri" w:cs="Ayuthaya"/>
          <w:sz w:val="22"/>
          <w:szCs w:val="22"/>
          <w:lang w:val="en-US" w:eastAsia="zh-CN"/>
        </w:rPr>
        <w:t>In contrast</w:t>
      </w:r>
      <w:r w:rsidR="00AF24E2">
        <w:rPr>
          <w:rFonts w:ascii="Calibri" w:hAnsi="Calibri" w:cs="Ayuthaya"/>
          <w:sz w:val="22"/>
          <w:szCs w:val="22"/>
          <w:lang w:val="en-US" w:eastAsia="zh-CN"/>
        </w:rPr>
        <w:t xml:space="preserve">, </w:t>
      </w:r>
      <w:r w:rsidR="00AD7C0C">
        <w:rPr>
          <w:rFonts w:ascii="Calibri" w:hAnsi="Calibri" w:cs="Ayuthaya"/>
          <w:sz w:val="22"/>
          <w:szCs w:val="22"/>
          <w:lang w:val="en-US" w:eastAsia="zh-CN"/>
        </w:rPr>
        <w:t xml:space="preserve">inclusion of </w:t>
      </w:r>
      <w:r w:rsidR="007B7A13">
        <w:rPr>
          <w:rFonts w:ascii="Calibri" w:hAnsi="Calibri" w:cs="Ayuthaya"/>
          <w:sz w:val="22"/>
          <w:szCs w:val="22"/>
          <w:lang w:val="en-US" w:eastAsia="zh-CN"/>
        </w:rPr>
        <w:t xml:space="preserve">caraway </w:t>
      </w:r>
      <w:r w:rsidR="00660C12">
        <w:rPr>
          <w:rFonts w:ascii="Calibri" w:hAnsi="Calibri" w:cs="Ayuthaya"/>
          <w:sz w:val="22"/>
          <w:szCs w:val="22"/>
          <w:lang w:val="en-US" w:eastAsia="zh-CN"/>
        </w:rPr>
        <w:t xml:space="preserve">in grass-clover mixtures </w:t>
      </w:r>
      <w:r w:rsidR="00143BE6">
        <w:rPr>
          <w:rFonts w:ascii="Calibri" w:hAnsi="Calibri" w:cs="Ayuthaya"/>
          <w:sz w:val="22"/>
          <w:szCs w:val="22"/>
          <w:lang w:val="en-US" w:eastAsia="zh-CN"/>
        </w:rPr>
        <w:t xml:space="preserve">significantly enhanced </w:t>
      </w:r>
      <w:r w:rsidR="00283633">
        <w:rPr>
          <w:rFonts w:ascii="Calibri" w:hAnsi="Calibri" w:cs="Ayuthaya"/>
          <w:sz w:val="22"/>
          <w:szCs w:val="22"/>
          <w:lang w:val="en-US" w:eastAsia="zh-CN"/>
        </w:rPr>
        <w:t>fungal-to-bacterial PLFAs (Fig. 1B)</w:t>
      </w:r>
      <w:r w:rsidR="007B7A13">
        <w:rPr>
          <w:rFonts w:ascii="Calibri" w:hAnsi="Calibri" w:cs="Ayuthaya"/>
          <w:sz w:val="22"/>
          <w:szCs w:val="22"/>
          <w:lang w:val="en-US" w:eastAsia="zh-CN"/>
        </w:rPr>
        <w:t xml:space="preserve">. </w:t>
      </w:r>
      <w:r w:rsidR="000140C7">
        <w:rPr>
          <w:rFonts w:ascii="Calibri" w:hAnsi="Calibri" w:cs="Ayuthaya"/>
          <w:sz w:val="22"/>
          <w:szCs w:val="22"/>
          <w:lang w:val="en-US" w:eastAsia="zh-CN"/>
        </w:rPr>
        <w:t>More</w:t>
      </w:r>
      <w:r w:rsidR="00C92D24">
        <w:rPr>
          <w:rFonts w:ascii="Calibri" w:hAnsi="Calibri" w:cs="Ayuthaya"/>
          <w:sz w:val="22"/>
          <w:szCs w:val="22"/>
          <w:lang w:val="en-US" w:eastAsia="zh-CN"/>
        </w:rPr>
        <w:t>o</w:t>
      </w:r>
      <w:r w:rsidR="000140C7">
        <w:rPr>
          <w:rFonts w:ascii="Calibri" w:hAnsi="Calibri" w:cs="Ayuthaya"/>
          <w:sz w:val="22"/>
          <w:szCs w:val="22"/>
          <w:lang w:val="en-US" w:eastAsia="zh-CN"/>
        </w:rPr>
        <w:t xml:space="preserve">ver, </w:t>
      </w:r>
      <w:r w:rsidR="001A1892">
        <w:rPr>
          <w:rFonts w:ascii="Calibri" w:hAnsi="Calibri" w:cs="Ayuthaya"/>
          <w:sz w:val="22"/>
          <w:szCs w:val="22"/>
          <w:lang w:val="en-US" w:eastAsia="zh-CN"/>
        </w:rPr>
        <w:t xml:space="preserve">despite of higher biomass of plantain than </w:t>
      </w:r>
      <w:r w:rsidR="000140C7">
        <w:rPr>
          <w:rFonts w:ascii="Calibri" w:hAnsi="Calibri" w:cs="Ayuthaya"/>
          <w:sz w:val="22"/>
          <w:szCs w:val="22"/>
          <w:lang w:val="en-US" w:eastAsia="zh-CN"/>
        </w:rPr>
        <w:t xml:space="preserve">caraway </w:t>
      </w:r>
      <w:r w:rsidR="001A1892">
        <w:rPr>
          <w:rFonts w:ascii="Calibri" w:hAnsi="Calibri" w:cs="Ayuthaya"/>
          <w:sz w:val="22"/>
          <w:szCs w:val="22"/>
          <w:lang w:val="en-US" w:eastAsia="zh-CN"/>
        </w:rPr>
        <w:t>in pure stand</w:t>
      </w:r>
      <w:r w:rsidR="00217146">
        <w:rPr>
          <w:rFonts w:ascii="Calibri" w:hAnsi="Calibri" w:cs="Ayuthaya"/>
          <w:sz w:val="22"/>
          <w:szCs w:val="22"/>
          <w:lang w:val="en-US" w:eastAsia="zh-CN"/>
        </w:rPr>
        <w:t xml:space="preserve"> (Tabel 1)</w:t>
      </w:r>
      <w:r w:rsidR="001A1892">
        <w:rPr>
          <w:rFonts w:ascii="Calibri" w:hAnsi="Calibri" w:cs="Ayuthaya"/>
          <w:sz w:val="22"/>
          <w:szCs w:val="22"/>
          <w:lang w:val="en-US" w:eastAsia="zh-CN"/>
        </w:rPr>
        <w:t xml:space="preserve">, caraway </w:t>
      </w:r>
      <w:r w:rsidR="000140C7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660C12">
        <w:rPr>
          <w:rFonts w:ascii="Calibri" w:hAnsi="Calibri" w:cs="Ayuthaya"/>
          <w:sz w:val="22"/>
          <w:szCs w:val="22"/>
          <w:lang w:val="en-US" w:eastAsia="zh-CN"/>
        </w:rPr>
        <w:t>generally</w:t>
      </w:r>
      <w:r w:rsidR="00B429C9">
        <w:rPr>
          <w:rFonts w:ascii="Calibri" w:hAnsi="Calibri" w:cs="Ayuthaya"/>
          <w:sz w:val="22"/>
          <w:szCs w:val="22"/>
          <w:lang w:val="en-US" w:eastAsia="zh-CN"/>
        </w:rPr>
        <w:t xml:space="preserve"> had higher </w:t>
      </w:r>
      <w:r w:rsidR="00B429C9" w:rsidRPr="00AD7C0C">
        <w:rPr>
          <w:rFonts w:ascii="Calibri" w:hAnsi="Calibri" w:cs="Ayuthaya"/>
          <w:sz w:val="22"/>
          <w:szCs w:val="22"/>
          <w:lang w:val="en-US" w:eastAsia="zh-CN"/>
        </w:rPr>
        <w:t>microbial biomass</w:t>
      </w:r>
      <w:r w:rsidR="00B429C9">
        <w:rPr>
          <w:rFonts w:ascii="Calibri" w:hAnsi="Calibri" w:cs="Ayuthaya"/>
          <w:sz w:val="22"/>
          <w:szCs w:val="22"/>
          <w:lang w:val="en-US" w:eastAsia="zh-CN"/>
        </w:rPr>
        <w:t xml:space="preserve"> (Fig. 1A), enzymatic activty (Fig. 1C) and net soil N mineralization rate (Fig. 1D) than plantain monoculture.</w:t>
      </w:r>
      <w:r w:rsidR="000140C7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F94592">
        <w:rPr>
          <w:rFonts w:ascii="Calibri" w:hAnsi="Calibri" w:cs="Ayuthaya"/>
          <w:sz w:val="22"/>
          <w:szCs w:val="22"/>
          <w:lang w:val="en-US" w:eastAsia="zh-CN"/>
        </w:rPr>
        <w:t xml:space="preserve">These results suggest that root quality instead of root quantity may be the </w:t>
      </w:r>
      <w:r w:rsidR="00FB130B">
        <w:rPr>
          <w:rFonts w:ascii="Calibri" w:hAnsi="Calibri" w:cs="Ayuthaya"/>
          <w:sz w:val="22"/>
          <w:szCs w:val="22"/>
          <w:lang w:val="en-US" w:eastAsia="zh-CN"/>
        </w:rPr>
        <w:t>key factor in determining</w:t>
      </w:r>
      <w:r w:rsidR="00F94592">
        <w:rPr>
          <w:rFonts w:ascii="Calibri" w:hAnsi="Calibri" w:cs="Ayuthaya"/>
          <w:sz w:val="22"/>
          <w:szCs w:val="22"/>
          <w:lang w:val="en-US" w:eastAsia="zh-CN"/>
        </w:rPr>
        <w:t xml:space="preserve"> soil </w:t>
      </w:r>
      <w:r w:rsidR="00FB130B">
        <w:rPr>
          <w:rFonts w:ascii="Calibri" w:hAnsi="Calibri" w:cs="Ayuthaya"/>
          <w:sz w:val="22"/>
          <w:szCs w:val="22"/>
          <w:lang w:val="en-US"/>
        </w:rPr>
        <w:t xml:space="preserve">microbial properties. Interestingly, </w:t>
      </w:r>
      <w:r w:rsidR="00A65A6B">
        <w:rPr>
          <w:rFonts w:ascii="Calibri" w:hAnsi="Calibri" w:cs="Ayuthaya"/>
          <w:sz w:val="22"/>
          <w:szCs w:val="22"/>
          <w:lang w:val="en-US"/>
        </w:rPr>
        <w:t>higher fungi/bacteria</w:t>
      </w:r>
      <w:r w:rsidR="0079318F">
        <w:rPr>
          <w:rFonts w:ascii="Calibri" w:hAnsi="Calibri" w:cs="Ayuthaya"/>
          <w:sz w:val="22"/>
          <w:szCs w:val="22"/>
          <w:lang w:val="en-US"/>
        </w:rPr>
        <w:t xml:space="preserve"> ratio </w:t>
      </w:r>
      <w:r w:rsidR="0079318F">
        <w:rPr>
          <w:rFonts w:ascii="Calibri" w:hAnsi="Calibri" w:cs="Ayuthaya"/>
          <w:sz w:val="22"/>
          <w:szCs w:val="22"/>
          <w:lang w:val="en-US" w:eastAsia="zh-CN"/>
        </w:rPr>
        <w:t>was related to lower</w:t>
      </w:r>
      <w:r w:rsidR="00FB130B">
        <w:rPr>
          <w:rFonts w:ascii="Calibri" w:hAnsi="Calibri" w:cs="Ayuthaya"/>
          <w:sz w:val="22"/>
          <w:szCs w:val="22"/>
          <w:lang w:val="en-US" w:eastAsia="zh-CN"/>
        </w:rPr>
        <w:t xml:space="preserve"> root C/N ratio and lignin/N ratio (Table 1)</w:t>
      </w:r>
      <w:r w:rsidR="004E2396">
        <w:rPr>
          <w:rFonts w:ascii="Calibri" w:hAnsi="Calibri" w:cs="Ayuthaya"/>
          <w:sz w:val="22"/>
          <w:szCs w:val="22"/>
          <w:lang w:val="en-US" w:eastAsia="zh-CN"/>
        </w:rPr>
        <w:t xml:space="preserve">, which contrasted with </w:t>
      </w:r>
      <w:r w:rsidR="0099390B">
        <w:rPr>
          <w:rFonts w:ascii="Calibri" w:hAnsi="Calibri" w:cs="Ayuthaya"/>
          <w:sz w:val="22"/>
          <w:szCs w:val="22"/>
          <w:lang w:val="en-US" w:eastAsia="zh-CN"/>
        </w:rPr>
        <w:t>previous</w:t>
      </w:r>
      <w:r w:rsidR="00A65A6B">
        <w:rPr>
          <w:rFonts w:ascii="Calibri" w:hAnsi="Calibri" w:cs="Ayuthaya"/>
          <w:sz w:val="22"/>
          <w:szCs w:val="22"/>
          <w:lang w:val="en-US" w:eastAsia="zh-CN"/>
        </w:rPr>
        <w:t xml:space="preserve"> findings</w:t>
      </w:r>
      <w:r w:rsidR="00FE79CF">
        <w:rPr>
          <w:rFonts w:ascii="Calibri" w:hAnsi="Calibri" w:cs="Ayuthaya"/>
          <w:sz w:val="22"/>
          <w:szCs w:val="22"/>
          <w:lang w:val="en-US" w:eastAsia="zh-CN"/>
        </w:rPr>
        <w:t>.</w:t>
      </w:r>
      <w:r w:rsidR="00A65A6B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0204CC">
        <w:rPr>
          <w:rFonts w:ascii="Calibri" w:hAnsi="Calibri" w:cs="Ayuthaya"/>
          <w:sz w:val="22"/>
          <w:szCs w:val="22"/>
          <w:lang w:val="en-US" w:eastAsia="zh-CN"/>
        </w:rPr>
        <w:t>This i</w:t>
      </w:r>
      <w:r w:rsidR="00FE79CF">
        <w:rPr>
          <w:rFonts w:ascii="Calibri" w:hAnsi="Calibri" w:cs="Ayuthaya"/>
          <w:sz w:val="22"/>
          <w:szCs w:val="22"/>
          <w:lang w:val="en-US" w:eastAsia="zh-CN"/>
        </w:rPr>
        <w:t>ndicates</w:t>
      </w:r>
      <w:r w:rsidR="000204CC">
        <w:rPr>
          <w:rFonts w:ascii="Calibri" w:hAnsi="Calibri" w:cs="Ayuthaya"/>
          <w:sz w:val="22"/>
          <w:szCs w:val="22"/>
          <w:lang w:val="en-US" w:eastAsia="zh-CN"/>
        </w:rPr>
        <w:t xml:space="preserve"> that</w:t>
      </w:r>
      <w:r w:rsidR="009D139B">
        <w:rPr>
          <w:rFonts w:ascii="Calibri" w:hAnsi="Calibri" w:cs="Ayuthaya"/>
          <w:sz w:val="22"/>
          <w:szCs w:val="22"/>
          <w:lang w:val="en-US" w:eastAsia="zh-CN"/>
        </w:rPr>
        <w:t xml:space="preserve"> </w:t>
      </w:r>
      <w:r w:rsidR="002432D6">
        <w:rPr>
          <w:rFonts w:ascii="Calibri" w:hAnsi="Calibri" w:cs="Ayuthaya"/>
          <w:sz w:val="22"/>
          <w:szCs w:val="22"/>
          <w:lang w:val="en-US" w:eastAsia="zh-CN"/>
        </w:rPr>
        <w:t>other mechanisms</w:t>
      </w:r>
      <w:r w:rsidR="0099390B">
        <w:rPr>
          <w:rFonts w:ascii="Calibri" w:hAnsi="Calibri" w:cs="Ayuthaya"/>
          <w:sz w:val="22"/>
          <w:szCs w:val="22"/>
          <w:lang w:val="en-US" w:eastAsia="zh-CN"/>
        </w:rPr>
        <w:t xml:space="preserve"> may function</w:t>
      </w:r>
      <w:r w:rsidR="00A65A6B">
        <w:rPr>
          <w:rFonts w:ascii="Calibri" w:hAnsi="Calibri" w:cs="Ayuthaya"/>
          <w:sz w:val="22"/>
          <w:szCs w:val="22"/>
          <w:lang w:val="en-US" w:eastAsia="zh-CN"/>
        </w:rPr>
        <w:t>,</w:t>
      </w:r>
      <w:r w:rsidR="002432D6">
        <w:rPr>
          <w:rFonts w:ascii="Calibri" w:hAnsi="Calibri" w:cs="Ayuthaya"/>
          <w:sz w:val="22"/>
          <w:szCs w:val="22"/>
          <w:lang w:val="en-US" w:eastAsia="zh-CN"/>
        </w:rPr>
        <w:t xml:space="preserve"> e.g. specific </w:t>
      </w:r>
      <w:r w:rsidR="00FE79CF">
        <w:rPr>
          <w:rFonts w:ascii="Calibri" w:hAnsi="Calibri" w:cs="Ayuthaya"/>
          <w:sz w:val="22"/>
          <w:szCs w:val="22"/>
          <w:lang w:val="en-US" w:eastAsia="zh-CN"/>
        </w:rPr>
        <w:t xml:space="preserve">organic </w:t>
      </w:r>
      <w:r w:rsidR="002432D6">
        <w:rPr>
          <w:rFonts w:ascii="Calibri" w:hAnsi="Calibri" w:cs="Ayuthaya"/>
          <w:sz w:val="22"/>
          <w:szCs w:val="22"/>
          <w:lang w:val="en-US" w:eastAsia="zh-CN"/>
        </w:rPr>
        <w:t>compounds released by caraway roots may foster the growth of fungi</w:t>
      </w:r>
      <w:r w:rsidR="004E0CA9">
        <w:rPr>
          <w:rFonts w:ascii="Calibri" w:hAnsi="Calibri" w:cs="Ayuthaya"/>
          <w:sz w:val="22"/>
          <w:szCs w:val="22"/>
          <w:lang w:val="en-US" w:eastAsia="zh-CN"/>
        </w:rPr>
        <w:t>.</w:t>
      </w:r>
    </w:p>
    <w:p w:rsidR="00121B08" w:rsidRPr="00B87457" w:rsidRDefault="00121B08" w:rsidP="004C7D6B">
      <w:pPr>
        <w:pStyle w:val="Text"/>
        <w:ind w:firstLine="0"/>
        <w:rPr>
          <w:rFonts w:asciiTheme="minorHAnsi" w:hAnsiTheme="minorHAnsi"/>
          <w:b/>
          <w:sz w:val="20"/>
          <w:lang w:val="en-US"/>
        </w:rPr>
      </w:pPr>
      <w:r w:rsidRPr="00B87457">
        <w:rPr>
          <w:rFonts w:asciiTheme="minorHAnsi" w:hAnsiTheme="minorHAnsi"/>
          <w:b/>
          <w:sz w:val="20"/>
          <w:lang w:val="en-US"/>
        </w:rPr>
        <w:lastRenderedPageBreak/>
        <w:t>Table 1.</w:t>
      </w:r>
      <w:r w:rsidRPr="00B87457">
        <w:rPr>
          <w:rFonts w:asciiTheme="minorHAnsi" w:hAnsiTheme="minorHAnsi"/>
          <w:sz w:val="20"/>
          <w:lang w:val="en-US"/>
        </w:rPr>
        <w:t xml:space="preserve"> </w:t>
      </w:r>
      <w:r w:rsidRPr="00B87457">
        <w:rPr>
          <w:rFonts w:asciiTheme="minorHAnsi" w:hAnsiTheme="minorHAnsi"/>
          <w:b/>
          <w:sz w:val="20"/>
          <w:lang w:val="en-US"/>
        </w:rPr>
        <w:t xml:space="preserve">Seed proportions, biomass production and root quality parameters </w:t>
      </w:r>
      <w:r w:rsidR="00A14B99">
        <w:rPr>
          <w:rFonts w:asciiTheme="minorHAnsi" w:hAnsiTheme="minorHAnsi"/>
          <w:b/>
          <w:sz w:val="20"/>
          <w:lang w:val="en-US"/>
        </w:rPr>
        <w:t xml:space="preserve">(C/N ratio and lignin/N ratio) </w:t>
      </w:r>
      <w:r w:rsidRPr="00B87457">
        <w:rPr>
          <w:rFonts w:asciiTheme="minorHAnsi" w:hAnsiTheme="minorHAnsi"/>
          <w:b/>
          <w:sz w:val="20"/>
          <w:lang w:val="en-US"/>
        </w:rPr>
        <w:t>of four monocultures, grass-clover mixture and caraway- or plantain-containing grass-clover mixtures.</w:t>
      </w:r>
    </w:p>
    <w:tbl>
      <w:tblPr>
        <w:tblW w:w="912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00"/>
        <w:gridCol w:w="1170"/>
        <w:gridCol w:w="789"/>
        <w:gridCol w:w="759"/>
        <w:gridCol w:w="285"/>
        <w:gridCol w:w="687"/>
        <w:gridCol w:w="736"/>
        <w:gridCol w:w="285"/>
        <w:gridCol w:w="689"/>
        <w:gridCol w:w="829"/>
      </w:tblGrid>
      <w:tr w:rsidR="00121B08" w:rsidRPr="00B3489E" w:rsidTr="00F900A4">
        <w:trPr>
          <w:trHeight w:val="20"/>
        </w:trPr>
        <w:tc>
          <w:tcPr>
            <w:tcW w:w="1998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Monocultures</w:t>
            </w:r>
          </w:p>
          <w:p w:rsidR="00121B08" w:rsidRPr="00B3489E" w:rsidRDefault="00121B08" w:rsidP="00110AFC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/mixtures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21B08" w:rsidRPr="00B3489E" w:rsidRDefault="00121B08" w:rsidP="00110AFC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Abbreviation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Seeding proportion</w:t>
            </w:r>
            <w:r w:rsidRPr="00B3489E">
              <w:rPr>
                <w:rFonts w:ascii="Calibri" w:eastAsia="Calibri" w:hAnsi="Calibri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Biomass (t/ha)</w:t>
            </w:r>
            <w:r w:rsidRPr="00B3489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489E">
              <w:rPr>
                <w:rFonts w:ascii="Calibri" w:eastAsia="Calibri" w:hAnsi="Calibri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Root C/N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Root lignin/N</w:t>
            </w:r>
          </w:p>
        </w:tc>
      </w:tr>
      <w:tr w:rsidR="00121B08" w:rsidRPr="00B3489E" w:rsidTr="002E4CBD">
        <w:trPr>
          <w:trHeight w:val="20"/>
        </w:trPr>
        <w:tc>
          <w:tcPr>
            <w:tcW w:w="1998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21B08" w:rsidRPr="00B3489E" w:rsidRDefault="00121B08" w:rsidP="00110AF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N0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N250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N0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N250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N0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21B08" w:rsidRPr="00B3489E" w:rsidRDefault="00121B08" w:rsidP="00110AF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N250</w:t>
            </w:r>
          </w:p>
        </w:tc>
      </w:tr>
      <w:tr w:rsidR="00121B08" w:rsidRPr="00B3489E" w:rsidTr="002E4CBD">
        <w:trPr>
          <w:trHeight w:hRule="exact" w:val="288"/>
        </w:trPr>
        <w:tc>
          <w:tcPr>
            <w:tcW w:w="199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Ryegrass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G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23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30.0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28.0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12.0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5.7</w:t>
            </w:r>
          </w:p>
        </w:tc>
      </w:tr>
      <w:tr w:rsidR="00121B08" w:rsidRPr="00B3489E" w:rsidTr="002E4CBD">
        <w:trPr>
          <w:trHeight w:hRule="exact" w:val="288"/>
        </w:trPr>
        <w:tc>
          <w:tcPr>
            <w:tcW w:w="19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Red clover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22.7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22.9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3.5</w:t>
            </w:r>
          </w:p>
        </w:tc>
      </w:tr>
      <w:tr w:rsidR="00121B08" w:rsidRPr="00B3489E" w:rsidTr="002E4CBD">
        <w:trPr>
          <w:trHeight w:hRule="exact" w:val="288"/>
        </w:trPr>
        <w:tc>
          <w:tcPr>
            <w:tcW w:w="19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Caraway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24.9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23.7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1.6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1.8</w:t>
            </w:r>
          </w:p>
        </w:tc>
      </w:tr>
      <w:tr w:rsidR="00121B08" w:rsidRPr="00B3489E" w:rsidTr="002E4CBD">
        <w:trPr>
          <w:trHeight w:hRule="exact" w:val="288"/>
        </w:trPr>
        <w:tc>
          <w:tcPr>
            <w:tcW w:w="19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Plantain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Pl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35.1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34.4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9.5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9.6</w:t>
            </w:r>
          </w:p>
        </w:tc>
      </w:tr>
      <w:tr w:rsidR="00121B08" w:rsidRPr="00B3489E" w:rsidTr="002E4CBD">
        <w:trPr>
          <w:trHeight w:hRule="exact" w:val="288"/>
        </w:trPr>
        <w:tc>
          <w:tcPr>
            <w:tcW w:w="19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Grass-clover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G-C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50-50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</w:tr>
      <w:tr w:rsidR="00121B08" w:rsidRPr="00B3489E" w:rsidTr="002E4CBD">
        <w:trPr>
          <w:trHeight w:hRule="exact" w:val="288"/>
        </w:trPr>
        <w:tc>
          <w:tcPr>
            <w:tcW w:w="19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Grass-clover-caraway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G-C-Cc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20-20-60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</w:tr>
      <w:tr w:rsidR="00121B08" w:rsidRPr="00B3489E" w:rsidTr="002E4CBD">
        <w:trPr>
          <w:trHeight w:hRule="exact" w:val="288"/>
        </w:trPr>
        <w:tc>
          <w:tcPr>
            <w:tcW w:w="199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Grass-clover-plantain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G-C-Pl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20-20-60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121B08" w:rsidRPr="00B3489E" w:rsidRDefault="00121B08" w:rsidP="00B348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3489E"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</w:tr>
    </w:tbl>
    <w:p w:rsidR="00121B08" w:rsidRPr="00B3489E" w:rsidRDefault="00121B08" w:rsidP="00121B08">
      <w:pPr>
        <w:pStyle w:val="EndNoteBibliography"/>
        <w:spacing w:after="0"/>
        <w:rPr>
          <w:rFonts w:ascii="Calibri" w:eastAsia="Calibri" w:hAnsi="Calibri"/>
          <w:sz w:val="20"/>
          <w:szCs w:val="20"/>
          <w:lang w:val="en-US" w:eastAsia="en-US"/>
        </w:rPr>
      </w:pPr>
      <w:r w:rsidRPr="00B3489E">
        <w:rPr>
          <w:rFonts w:ascii="Calibri" w:eastAsia="Calibri" w:hAnsi="Calibri"/>
          <w:sz w:val="20"/>
          <w:szCs w:val="20"/>
          <w:vertAlign w:val="superscript"/>
          <w:lang w:val="en-US"/>
        </w:rPr>
        <w:t>†</w:t>
      </w:r>
      <w:r w:rsidRPr="00B3489E">
        <w:rPr>
          <w:rFonts w:ascii="Calibri" w:eastAsia="Calibri" w:hAnsi="Calibri"/>
          <w:sz w:val="20"/>
          <w:szCs w:val="20"/>
          <w:lang w:val="en-US" w:eastAsia="en-US"/>
        </w:rPr>
        <w:t xml:space="preserve"> Numbers in this column referes to the proportions (%) of optimal seeding rate of plant species in pure stands.</w:t>
      </w:r>
    </w:p>
    <w:p w:rsidR="00121B08" w:rsidRPr="00B3489E" w:rsidRDefault="00121B08" w:rsidP="00121B08">
      <w:pPr>
        <w:pStyle w:val="EndNoteBibliography"/>
        <w:spacing w:after="0"/>
        <w:rPr>
          <w:rFonts w:ascii="Calibri" w:eastAsia="Calibri" w:hAnsi="Calibri"/>
          <w:sz w:val="20"/>
          <w:szCs w:val="20"/>
          <w:lang w:val="en-US"/>
        </w:rPr>
      </w:pPr>
      <w:r w:rsidRPr="00B3489E">
        <w:rPr>
          <w:rFonts w:ascii="Calibri" w:eastAsia="Calibri" w:hAnsi="Calibri"/>
          <w:sz w:val="20"/>
          <w:szCs w:val="20"/>
          <w:vertAlign w:val="superscript"/>
          <w:lang w:val="en-US"/>
        </w:rPr>
        <w:t xml:space="preserve">‡ </w:t>
      </w:r>
      <w:r w:rsidRPr="00B3489E">
        <w:rPr>
          <w:rFonts w:ascii="Calibri" w:eastAsia="Calibri" w:hAnsi="Calibri"/>
          <w:sz w:val="20"/>
          <w:szCs w:val="20"/>
          <w:lang w:val="en-US"/>
        </w:rPr>
        <w:t>Cumulative herbage biomass yields from establishment (2013) to the sampling time (the 3</w:t>
      </w:r>
      <w:r w:rsidRPr="00B3489E">
        <w:rPr>
          <w:rFonts w:ascii="Calibri" w:eastAsia="Calibri" w:hAnsi="Calibri"/>
          <w:sz w:val="20"/>
          <w:szCs w:val="20"/>
          <w:vertAlign w:val="superscript"/>
          <w:lang w:val="en-US"/>
        </w:rPr>
        <w:t>rd</w:t>
      </w:r>
      <w:r w:rsidRPr="00B3489E">
        <w:rPr>
          <w:rFonts w:ascii="Calibri" w:eastAsia="Calibri" w:hAnsi="Calibri"/>
          <w:sz w:val="20"/>
          <w:szCs w:val="20"/>
          <w:lang w:val="en-US"/>
        </w:rPr>
        <w:t xml:space="preserve"> cut) in 2015.</w:t>
      </w:r>
    </w:p>
    <w:p w:rsidR="00121B08" w:rsidRPr="00121B08" w:rsidRDefault="00121B08" w:rsidP="00121B08">
      <w:pPr>
        <w:pStyle w:val="EndNoteBibliography"/>
        <w:spacing w:after="0"/>
        <w:rPr>
          <w:rFonts w:eastAsia="Calibri"/>
          <w:sz w:val="20"/>
          <w:szCs w:val="20"/>
          <w:lang w:val="en-US"/>
        </w:rPr>
      </w:pPr>
      <w:r w:rsidRPr="00121B08">
        <w:rPr>
          <w:rFonts w:eastAsia="Calibri"/>
          <w:sz w:val="20"/>
          <w:szCs w:val="20"/>
          <w:lang w:val="en-US"/>
        </w:rPr>
        <w:t xml:space="preserve"> </w:t>
      </w:r>
    </w:p>
    <w:p w:rsidR="00121B08" w:rsidRPr="004A034C" w:rsidRDefault="004A034C" w:rsidP="00121B08">
      <w:pPr>
        <w:pStyle w:val="EndNoteBibliography"/>
        <w:spacing w:after="0"/>
        <w:jc w:val="center"/>
        <w:rPr>
          <w:b/>
          <w:sz w:val="18"/>
          <w:szCs w:val="18"/>
          <w:lang w:val="en-US"/>
        </w:rPr>
      </w:pPr>
      <w:bookmarkStart w:id="0" w:name="_GoBack"/>
      <w:r>
        <w:rPr>
          <w:b/>
          <w:sz w:val="18"/>
          <w:szCs w:val="18"/>
          <w:lang w:val="en-US"/>
        </w:rPr>
        <w:drawing>
          <wp:inline distT="0" distB="0" distL="0" distR="0">
            <wp:extent cx="4457700" cy="4254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 1.t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" t="4768" r="2660" b="3571"/>
                    <a:stretch/>
                  </pic:blipFill>
                  <pic:spPr bwMode="auto">
                    <a:xfrm>
                      <a:off x="0" y="0"/>
                      <a:ext cx="4469192" cy="4265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21B08" w:rsidRPr="00B87457" w:rsidRDefault="00121B08" w:rsidP="004C7D6B">
      <w:pPr>
        <w:pStyle w:val="EndNoteBibliography"/>
        <w:spacing w:after="0"/>
        <w:jc w:val="both"/>
        <w:rPr>
          <w:rFonts w:asciiTheme="minorHAnsi" w:hAnsiTheme="minorHAnsi"/>
          <w:b/>
          <w:sz w:val="20"/>
          <w:szCs w:val="24"/>
          <w:lang w:val="en-US"/>
        </w:rPr>
      </w:pPr>
      <w:r w:rsidRPr="00B87457">
        <w:rPr>
          <w:rFonts w:asciiTheme="minorHAnsi" w:hAnsiTheme="minorHAnsi"/>
          <w:b/>
          <w:sz w:val="20"/>
          <w:szCs w:val="24"/>
          <w:lang w:val="en-US"/>
        </w:rPr>
        <w:t>Fig. 1.</w:t>
      </w:r>
      <w:r w:rsidRPr="00B87457">
        <w:rPr>
          <w:rFonts w:asciiTheme="minorHAnsi" w:hAnsiTheme="minorHAnsi"/>
          <w:sz w:val="20"/>
          <w:szCs w:val="24"/>
          <w:lang w:val="en-US"/>
        </w:rPr>
        <w:t xml:space="preserve"> </w:t>
      </w:r>
      <w:r w:rsidRPr="00B87457">
        <w:rPr>
          <w:rFonts w:asciiTheme="minorHAnsi" w:hAnsiTheme="minorHAnsi"/>
          <w:b/>
          <w:sz w:val="20"/>
          <w:szCs w:val="24"/>
          <w:lang w:val="en-US"/>
        </w:rPr>
        <w:t xml:space="preserve">Total PLFAs (A), fungal-to-bacterial PLFAs (B), </w:t>
      </w:r>
      <w:r w:rsidRPr="00B87457">
        <w:rPr>
          <w:rFonts w:asciiTheme="minorHAnsi" w:hAnsiTheme="minorHAnsi"/>
          <w:b/>
          <w:sz w:val="20"/>
          <w:szCs w:val="24"/>
        </w:rPr>
        <w:t>β</w:t>
      </w:r>
      <w:r w:rsidRPr="00B87457">
        <w:rPr>
          <w:rFonts w:asciiTheme="minorHAnsi" w:hAnsiTheme="minorHAnsi"/>
          <w:b/>
          <w:sz w:val="20"/>
          <w:szCs w:val="24"/>
          <w:lang w:val="en-US"/>
        </w:rPr>
        <w:t>-glucosidase activity (C) and net N mineralization rate (D) in soils from different plant species composition. Data are means ± SE (n = 3). Means with different lowercase letters show significant differences (</w:t>
      </w:r>
      <w:r w:rsidRPr="00B87457">
        <w:rPr>
          <w:rFonts w:asciiTheme="minorHAnsi" w:hAnsiTheme="minorHAnsi"/>
          <w:b/>
          <w:i/>
          <w:sz w:val="20"/>
          <w:szCs w:val="24"/>
          <w:lang w:val="en-US"/>
        </w:rPr>
        <w:t>P</w:t>
      </w:r>
      <w:r w:rsidRPr="00B87457">
        <w:rPr>
          <w:rFonts w:asciiTheme="minorHAnsi" w:hAnsiTheme="minorHAnsi"/>
          <w:b/>
          <w:sz w:val="20"/>
          <w:szCs w:val="24"/>
          <w:lang w:val="en-US"/>
        </w:rPr>
        <w:t xml:space="preserve"> &lt; 0.05) </w:t>
      </w:r>
      <w:r w:rsidR="00C520F3">
        <w:rPr>
          <w:rFonts w:asciiTheme="minorHAnsi" w:hAnsiTheme="minorHAnsi"/>
          <w:b/>
          <w:sz w:val="20"/>
          <w:szCs w:val="24"/>
          <w:lang w:val="en-US"/>
        </w:rPr>
        <w:t xml:space="preserve">between treatments </w:t>
      </w:r>
      <w:r w:rsidRPr="00B87457">
        <w:rPr>
          <w:rFonts w:asciiTheme="minorHAnsi" w:hAnsiTheme="minorHAnsi"/>
          <w:b/>
          <w:sz w:val="20"/>
          <w:szCs w:val="24"/>
          <w:lang w:val="en-US"/>
        </w:rPr>
        <w:t xml:space="preserve">using Tukey’s </w:t>
      </w:r>
      <w:r w:rsidRPr="00B87457">
        <w:rPr>
          <w:rFonts w:asciiTheme="minorHAnsi" w:hAnsiTheme="minorHAnsi"/>
          <w:b/>
          <w:i/>
          <w:sz w:val="20"/>
          <w:szCs w:val="24"/>
          <w:lang w:val="en-US"/>
        </w:rPr>
        <w:t>post hoc</w:t>
      </w:r>
      <w:r w:rsidRPr="00B87457">
        <w:rPr>
          <w:rFonts w:asciiTheme="minorHAnsi" w:hAnsiTheme="minorHAnsi"/>
          <w:b/>
          <w:sz w:val="20"/>
          <w:szCs w:val="24"/>
          <w:lang w:val="en-US"/>
        </w:rPr>
        <w:t xml:space="preserve"> test. </w:t>
      </w:r>
    </w:p>
    <w:p w:rsidR="0096159E" w:rsidRDefault="0096159E" w:rsidP="002B7F01">
      <w:pPr>
        <w:pStyle w:val="Heading1"/>
        <w:rPr>
          <w:rFonts w:ascii="Calibri" w:hAnsi="Calibri" w:cs="Ayuthaya"/>
          <w:sz w:val="22"/>
          <w:szCs w:val="22"/>
          <w:lang w:val="en-US"/>
        </w:rPr>
      </w:pPr>
    </w:p>
    <w:p w:rsidR="002B7F01" w:rsidRPr="002B7F01" w:rsidRDefault="002B7F01" w:rsidP="002B7F01">
      <w:pPr>
        <w:pStyle w:val="Heading1"/>
        <w:rPr>
          <w:rFonts w:ascii="Calibri" w:hAnsi="Calibri" w:cs="Ayuthaya"/>
          <w:sz w:val="22"/>
          <w:szCs w:val="22"/>
          <w:lang w:val="en-US"/>
        </w:rPr>
      </w:pPr>
      <w:r w:rsidRPr="002B7F01">
        <w:rPr>
          <w:rFonts w:ascii="Calibri" w:hAnsi="Calibri" w:cs="Ayuthaya"/>
          <w:sz w:val="22"/>
          <w:szCs w:val="22"/>
          <w:lang w:val="en-US"/>
        </w:rPr>
        <w:t>CONCLUSIONS</w:t>
      </w:r>
    </w:p>
    <w:p w:rsidR="0096159E" w:rsidRPr="002B7F01" w:rsidRDefault="004E0CA9" w:rsidP="0096159E">
      <w:pPr>
        <w:pStyle w:val="Text"/>
        <w:rPr>
          <w:rFonts w:ascii="Calibri" w:hAnsi="Calibri" w:cs="Ayuthaya"/>
          <w:sz w:val="22"/>
          <w:szCs w:val="22"/>
          <w:lang w:val="en-US"/>
        </w:rPr>
      </w:pPr>
      <w:r>
        <w:rPr>
          <w:rFonts w:ascii="Calibri" w:hAnsi="Calibri" w:cs="Ayuthaya"/>
          <w:sz w:val="22"/>
          <w:szCs w:val="22"/>
          <w:lang w:val="en-US" w:eastAsia="zh-CN"/>
        </w:rPr>
        <w:t xml:space="preserve">Including competitive forbs such as caraway in grass-clover mixtures </w:t>
      </w:r>
      <w:r w:rsidR="00F648FE">
        <w:rPr>
          <w:rFonts w:ascii="Calibri" w:hAnsi="Calibri" w:cs="Ayuthaya"/>
          <w:sz w:val="22"/>
          <w:szCs w:val="22"/>
          <w:lang w:val="en-US" w:eastAsia="zh-CN"/>
        </w:rPr>
        <w:t xml:space="preserve">enhances fungi/bacteria ratio </w:t>
      </w:r>
      <w:r w:rsidR="004C7D6B">
        <w:rPr>
          <w:rFonts w:ascii="Calibri" w:hAnsi="Calibri" w:cs="Ayuthaya"/>
          <w:sz w:val="22"/>
          <w:szCs w:val="22"/>
          <w:lang w:val="en-US" w:eastAsia="zh-CN"/>
        </w:rPr>
        <w:t xml:space="preserve">in soil </w:t>
      </w:r>
      <w:r w:rsidR="00F648FE">
        <w:rPr>
          <w:rFonts w:ascii="Calibri" w:hAnsi="Calibri" w:cs="Ayuthaya"/>
          <w:sz w:val="22"/>
          <w:szCs w:val="22"/>
          <w:lang w:val="en-US" w:eastAsia="zh-CN"/>
        </w:rPr>
        <w:t>through changes in root qua</w:t>
      </w:r>
      <w:r w:rsidR="005E77B2">
        <w:rPr>
          <w:rFonts w:ascii="Calibri" w:hAnsi="Calibri" w:cs="Ayuthaya"/>
          <w:sz w:val="22"/>
          <w:szCs w:val="22"/>
          <w:lang w:val="en-US" w:eastAsia="zh-CN"/>
        </w:rPr>
        <w:t>lity</w:t>
      </w:r>
      <w:r w:rsidR="003402AB">
        <w:rPr>
          <w:rFonts w:ascii="Calibri" w:hAnsi="Calibri" w:cs="Ayuthaya"/>
          <w:sz w:val="22"/>
          <w:szCs w:val="22"/>
          <w:lang w:val="en-US" w:eastAsia="zh-CN"/>
        </w:rPr>
        <w:t xml:space="preserve"> instead of root quantity</w:t>
      </w:r>
      <w:r w:rsidR="005E77B2">
        <w:rPr>
          <w:rFonts w:ascii="Calibri" w:hAnsi="Calibri" w:cs="Ayuthaya"/>
          <w:sz w:val="22"/>
          <w:szCs w:val="22"/>
          <w:lang w:val="en-US" w:eastAsia="zh-CN"/>
        </w:rPr>
        <w:t>.</w:t>
      </w:r>
    </w:p>
    <w:p w:rsidR="002B7F01" w:rsidRPr="002B7F01" w:rsidRDefault="002B7F01" w:rsidP="002B7F01">
      <w:pPr>
        <w:rPr>
          <w:rFonts w:ascii="Calibri" w:hAnsi="Calibri" w:cs="Ayuthaya"/>
          <w:sz w:val="22"/>
          <w:szCs w:val="22"/>
          <w:lang w:val="en-US"/>
        </w:rPr>
      </w:pPr>
    </w:p>
    <w:p w:rsidR="002B7F01" w:rsidRPr="002B7F01" w:rsidRDefault="002B7F01" w:rsidP="002B7F01">
      <w:pPr>
        <w:pStyle w:val="Heading1"/>
        <w:rPr>
          <w:rFonts w:ascii="Calibri" w:hAnsi="Calibri" w:cs="Ayuthaya"/>
          <w:sz w:val="22"/>
          <w:szCs w:val="22"/>
          <w:lang w:val="en-US"/>
        </w:rPr>
      </w:pPr>
      <w:r w:rsidRPr="002B7F01">
        <w:rPr>
          <w:rFonts w:ascii="Calibri" w:hAnsi="Calibri" w:cs="Ayuthaya"/>
          <w:sz w:val="22"/>
          <w:szCs w:val="22"/>
          <w:lang w:val="en-US"/>
        </w:rPr>
        <w:t>REFERENCES</w:t>
      </w:r>
    </w:p>
    <w:p w:rsidR="003402AB" w:rsidRPr="00464CD6" w:rsidRDefault="003402AB" w:rsidP="00464CD6">
      <w:pPr>
        <w:ind w:left="360" w:hanging="360"/>
        <w:rPr>
          <w:rFonts w:ascii="Calibri" w:hAnsi="Calibri" w:cs="Ayuthaya"/>
          <w:sz w:val="22"/>
          <w:szCs w:val="22"/>
          <w:lang w:val="en-US"/>
        </w:rPr>
      </w:pPr>
      <w:r w:rsidRPr="00574ACE">
        <w:rPr>
          <w:rFonts w:ascii="Calibri" w:hAnsi="Calibri" w:cs="Ayuthaya"/>
          <w:sz w:val="22"/>
          <w:szCs w:val="22"/>
          <w:lang w:val="en-US"/>
        </w:rPr>
        <w:t xml:space="preserve">Cong, W.-F., Søegaard, K., Eriksen, J., 2016. </w:t>
      </w:r>
      <w:r w:rsidR="00464CD6" w:rsidRPr="00464CD6">
        <w:rPr>
          <w:rFonts w:ascii="Calibri" w:hAnsi="Calibri" w:cs="Ayuthaya"/>
          <w:sz w:val="22"/>
          <w:szCs w:val="22"/>
          <w:lang w:val="en-US"/>
        </w:rPr>
        <w:t>Diversity promotes production of ryegrass-clover leys through</w:t>
      </w:r>
      <w:r w:rsidR="00464CD6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464CD6" w:rsidRPr="00464CD6">
        <w:rPr>
          <w:rFonts w:ascii="Calibri" w:hAnsi="Calibri" w:cs="Ayuthaya"/>
          <w:sz w:val="22"/>
          <w:szCs w:val="22"/>
          <w:lang w:val="en-US"/>
        </w:rPr>
        <w:t>inclusion of competitive forb species</w:t>
      </w:r>
      <w:r w:rsidR="00464CD6">
        <w:rPr>
          <w:rFonts w:ascii="Calibri" w:hAnsi="Calibri" w:cs="Ayuthaya"/>
          <w:sz w:val="22"/>
          <w:szCs w:val="22"/>
          <w:lang w:val="en-US"/>
        </w:rPr>
        <w:t xml:space="preserve">. </w:t>
      </w:r>
      <w:r w:rsidR="00066EA5" w:rsidRPr="004B10AF">
        <w:rPr>
          <w:rFonts w:ascii="Calibri" w:hAnsi="Calibri" w:cs="Ayuthaya"/>
          <w:i/>
          <w:sz w:val="22"/>
          <w:szCs w:val="22"/>
          <w:lang w:val="en-US"/>
        </w:rPr>
        <w:t>Grassl. Sci. Eur.</w:t>
      </w:r>
      <w:r w:rsidR="00066EA5" w:rsidRPr="00066EA5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464CD6" w:rsidRPr="00464CD6">
        <w:rPr>
          <w:rFonts w:ascii="Calibri" w:hAnsi="Calibri" w:cs="Ayuthaya"/>
          <w:sz w:val="22"/>
          <w:szCs w:val="22"/>
          <w:lang w:val="en-US"/>
        </w:rPr>
        <w:t>2</w:t>
      </w:r>
      <w:r w:rsidR="00464CD6">
        <w:rPr>
          <w:rFonts w:ascii="Calibri" w:hAnsi="Calibri" w:cs="Ayuthaya"/>
          <w:sz w:val="22"/>
          <w:szCs w:val="22"/>
          <w:lang w:val="en-US"/>
        </w:rPr>
        <w:t>1</w:t>
      </w:r>
      <w:r w:rsidR="004B10AF">
        <w:rPr>
          <w:rFonts w:ascii="Calibri" w:hAnsi="Calibri" w:cs="Ayuthaya"/>
          <w:sz w:val="22"/>
          <w:szCs w:val="22"/>
          <w:lang w:val="en-US"/>
        </w:rPr>
        <w:t>:</w:t>
      </w:r>
      <w:r w:rsidR="00464CD6" w:rsidRPr="00464CD6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066EA5">
        <w:rPr>
          <w:rFonts w:ascii="Calibri" w:hAnsi="Calibri" w:cs="Ayuthaya"/>
          <w:sz w:val="22"/>
          <w:szCs w:val="22"/>
          <w:lang w:val="en-US"/>
        </w:rPr>
        <w:t>557-559</w:t>
      </w:r>
    </w:p>
    <w:p w:rsidR="00BC1D9D" w:rsidRPr="00BC1D9D" w:rsidRDefault="00B87457" w:rsidP="00BC1D9D">
      <w:pPr>
        <w:ind w:left="360" w:hanging="360"/>
        <w:rPr>
          <w:rFonts w:ascii="Calibri" w:hAnsi="Calibri" w:cs="Ayuthaya"/>
          <w:sz w:val="22"/>
          <w:szCs w:val="22"/>
          <w:lang w:val="en-US"/>
        </w:rPr>
      </w:pPr>
      <w:r w:rsidRPr="00757CF6">
        <w:rPr>
          <w:rFonts w:ascii="Calibri" w:hAnsi="Calibri" w:cs="Ayuthaya"/>
          <w:sz w:val="22"/>
          <w:szCs w:val="22"/>
          <w:lang w:val="en-US"/>
        </w:rPr>
        <w:t>Petersen, S.O., Frohne, P.S., Kennedy, A.C., 2002. Dynamics of a soil microbial</w:t>
      </w:r>
      <w:r w:rsidR="000856A9" w:rsidRPr="009E69D8">
        <w:rPr>
          <w:rFonts w:ascii="Calibri" w:hAnsi="Calibri" w:cs="Ayuthaya"/>
          <w:sz w:val="22"/>
          <w:szCs w:val="22"/>
          <w:lang w:val="en-US"/>
        </w:rPr>
        <w:t xml:space="preserve"> </w:t>
      </w:r>
      <w:r w:rsidR="009E69D8" w:rsidRPr="009E69D8">
        <w:rPr>
          <w:rFonts w:ascii="Calibri" w:hAnsi="Calibri" w:cs="Ayuthaya"/>
          <w:sz w:val="22"/>
          <w:szCs w:val="22"/>
          <w:lang w:val="en-US"/>
        </w:rPr>
        <w:t xml:space="preserve">community </w:t>
      </w:r>
      <w:r w:rsidR="000856A9" w:rsidRPr="000856A9">
        <w:rPr>
          <w:rFonts w:ascii="Calibri" w:hAnsi="Calibri" w:cs="Ayuthaya"/>
          <w:sz w:val="22"/>
          <w:szCs w:val="22"/>
          <w:lang w:val="en-US"/>
        </w:rPr>
        <w:t>under Spring Wheat</w:t>
      </w:r>
      <w:r w:rsidR="009E69D8">
        <w:rPr>
          <w:rFonts w:ascii="Calibri" w:hAnsi="Calibri" w:cs="Ayuthaya"/>
          <w:sz w:val="22"/>
          <w:szCs w:val="22"/>
          <w:lang w:val="en-US"/>
        </w:rPr>
        <w:t xml:space="preserve">. </w:t>
      </w:r>
      <w:r w:rsidR="000445AD" w:rsidRPr="004C7D6B">
        <w:rPr>
          <w:rFonts w:ascii="Calibri" w:hAnsi="Calibri" w:cs="Ayuthaya"/>
          <w:i/>
          <w:sz w:val="22"/>
          <w:szCs w:val="22"/>
          <w:lang w:val="en-US"/>
        </w:rPr>
        <w:t>Soil Sci Soc Am J.</w:t>
      </w:r>
      <w:r w:rsidR="00066EA5">
        <w:rPr>
          <w:rFonts w:ascii="Calibri" w:hAnsi="Calibri" w:cs="Ayuthaya"/>
          <w:sz w:val="22"/>
          <w:szCs w:val="22"/>
          <w:lang w:val="en-US"/>
        </w:rPr>
        <w:t xml:space="preserve"> 6</w:t>
      </w:r>
      <w:r w:rsidR="009E69D8" w:rsidRPr="009E69D8">
        <w:rPr>
          <w:rFonts w:ascii="Calibri" w:hAnsi="Calibri" w:cs="Ayuthaya"/>
          <w:sz w:val="22"/>
          <w:szCs w:val="22"/>
          <w:lang w:val="en-US"/>
        </w:rPr>
        <w:t>6</w:t>
      </w:r>
      <w:r w:rsidR="00066EA5">
        <w:rPr>
          <w:rFonts w:ascii="Calibri" w:hAnsi="Calibri" w:cs="Ayuthaya"/>
          <w:sz w:val="22"/>
          <w:szCs w:val="22"/>
          <w:lang w:val="en-US"/>
        </w:rPr>
        <w:t>:</w:t>
      </w:r>
      <w:r w:rsidR="009E69D8" w:rsidRPr="009E69D8">
        <w:rPr>
          <w:rFonts w:ascii="Calibri" w:hAnsi="Calibri" w:cs="Ayuthaya"/>
          <w:sz w:val="22"/>
          <w:szCs w:val="22"/>
          <w:lang w:val="en-US"/>
        </w:rPr>
        <w:t xml:space="preserve"> 826-833</w:t>
      </w:r>
    </w:p>
    <w:sectPr w:rsidR="00BC1D9D" w:rsidRPr="00BC1D9D">
      <w:pgSz w:w="11907" w:h="16840" w:code="9"/>
      <w:pgMar w:top="1440" w:right="1440" w:bottom="1440" w:left="1440" w:header="720" w:footer="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A7" w:rsidRDefault="006831A7" w:rsidP="003D6953">
      <w:r>
        <w:separator/>
      </w:r>
    </w:p>
  </w:endnote>
  <w:endnote w:type="continuationSeparator" w:id="0">
    <w:p w:rsidR="006831A7" w:rsidRDefault="006831A7" w:rsidP="003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A7" w:rsidRDefault="006831A7" w:rsidP="003D6953">
      <w:r>
        <w:separator/>
      </w:r>
    </w:p>
  </w:footnote>
  <w:footnote w:type="continuationSeparator" w:id="0">
    <w:p w:rsidR="006831A7" w:rsidRDefault="006831A7" w:rsidP="003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7F20"/>
    <w:multiLevelType w:val="multilevel"/>
    <w:tmpl w:val="94FAB78E"/>
    <w:lvl w:ilvl="0">
      <w:start w:val="1"/>
      <w:numFmt w:val="lowerLetter"/>
      <w:lvlText w:val="(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D"/>
    <w:rsid w:val="000062AD"/>
    <w:rsid w:val="00012410"/>
    <w:rsid w:val="00013A36"/>
    <w:rsid w:val="000140C7"/>
    <w:rsid w:val="00014CD7"/>
    <w:rsid w:val="00017392"/>
    <w:rsid w:val="000204CC"/>
    <w:rsid w:val="00033870"/>
    <w:rsid w:val="0003607F"/>
    <w:rsid w:val="000440F4"/>
    <w:rsid w:val="000445AD"/>
    <w:rsid w:val="000535D1"/>
    <w:rsid w:val="00057766"/>
    <w:rsid w:val="00057B35"/>
    <w:rsid w:val="0006246E"/>
    <w:rsid w:val="00066EA5"/>
    <w:rsid w:val="0007171B"/>
    <w:rsid w:val="0007595D"/>
    <w:rsid w:val="000814A3"/>
    <w:rsid w:val="000856A9"/>
    <w:rsid w:val="00090D3C"/>
    <w:rsid w:val="000914B8"/>
    <w:rsid w:val="0009609D"/>
    <w:rsid w:val="000A0A0E"/>
    <w:rsid w:val="000A1A8A"/>
    <w:rsid w:val="000B1CC4"/>
    <w:rsid w:val="000B5ADD"/>
    <w:rsid w:val="000B7DD6"/>
    <w:rsid w:val="000F78C9"/>
    <w:rsid w:val="001107AB"/>
    <w:rsid w:val="0011099E"/>
    <w:rsid w:val="00110AFC"/>
    <w:rsid w:val="00116A37"/>
    <w:rsid w:val="00121B08"/>
    <w:rsid w:val="00125039"/>
    <w:rsid w:val="001403BB"/>
    <w:rsid w:val="001417BD"/>
    <w:rsid w:val="00143BE6"/>
    <w:rsid w:val="0015217A"/>
    <w:rsid w:val="001557EE"/>
    <w:rsid w:val="0016049F"/>
    <w:rsid w:val="001607CC"/>
    <w:rsid w:val="001739A8"/>
    <w:rsid w:val="00175060"/>
    <w:rsid w:val="00175BCB"/>
    <w:rsid w:val="00177DE6"/>
    <w:rsid w:val="001A1892"/>
    <w:rsid w:val="001A4327"/>
    <w:rsid w:val="001A69E0"/>
    <w:rsid w:val="001B2D8E"/>
    <w:rsid w:val="001D4B62"/>
    <w:rsid w:val="001E0B90"/>
    <w:rsid w:val="001E1955"/>
    <w:rsid w:val="001F0EDD"/>
    <w:rsid w:val="001F1B1B"/>
    <w:rsid w:val="001F2255"/>
    <w:rsid w:val="001F733A"/>
    <w:rsid w:val="0020486C"/>
    <w:rsid w:val="00217146"/>
    <w:rsid w:val="002432D6"/>
    <w:rsid w:val="002553BB"/>
    <w:rsid w:val="00256B74"/>
    <w:rsid w:val="002573FA"/>
    <w:rsid w:val="00257F0E"/>
    <w:rsid w:val="00265596"/>
    <w:rsid w:val="00283633"/>
    <w:rsid w:val="00286853"/>
    <w:rsid w:val="002873E9"/>
    <w:rsid w:val="00293E01"/>
    <w:rsid w:val="002944D3"/>
    <w:rsid w:val="002B7F01"/>
    <w:rsid w:val="002E4CBD"/>
    <w:rsid w:val="002E72B3"/>
    <w:rsid w:val="0032433F"/>
    <w:rsid w:val="003402AB"/>
    <w:rsid w:val="0035268D"/>
    <w:rsid w:val="00355950"/>
    <w:rsid w:val="00393EC0"/>
    <w:rsid w:val="00397A94"/>
    <w:rsid w:val="003D0FCD"/>
    <w:rsid w:val="003D6953"/>
    <w:rsid w:val="004010A8"/>
    <w:rsid w:val="00401D7A"/>
    <w:rsid w:val="004025A4"/>
    <w:rsid w:val="004034CF"/>
    <w:rsid w:val="00423390"/>
    <w:rsid w:val="00424C92"/>
    <w:rsid w:val="00433AC9"/>
    <w:rsid w:val="004465BC"/>
    <w:rsid w:val="00464CD6"/>
    <w:rsid w:val="00467387"/>
    <w:rsid w:val="00476724"/>
    <w:rsid w:val="00480A8E"/>
    <w:rsid w:val="0049055C"/>
    <w:rsid w:val="00495A15"/>
    <w:rsid w:val="004A034C"/>
    <w:rsid w:val="004B0A96"/>
    <w:rsid w:val="004B10AF"/>
    <w:rsid w:val="004C220E"/>
    <w:rsid w:val="004C653F"/>
    <w:rsid w:val="004C7D6B"/>
    <w:rsid w:val="004E09BE"/>
    <w:rsid w:val="004E0CA9"/>
    <w:rsid w:val="004E2396"/>
    <w:rsid w:val="00532BC4"/>
    <w:rsid w:val="00536313"/>
    <w:rsid w:val="005424A6"/>
    <w:rsid w:val="00542620"/>
    <w:rsid w:val="00551AD9"/>
    <w:rsid w:val="00551EDE"/>
    <w:rsid w:val="00570766"/>
    <w:rsid w:val="00574ACE"/>
    <w:rsid w:val="005A1CFD"/>
    <w:rsid w:val="005A6639"/>
    <w:rsid w:val="005B470B"/>
    <w:rsid w:val="005C4FDF"/>
    <w:rsid w:val="005D40F3"/>
    <w:rsid w:val="005E1C20"/>
    <w:rsid w:val="005E77B2"/>
    <w:rsid w:val="0060632A"/>
    <w:rsid w:val="00611CB1"/>
    <w:rsid w:val="00616ACC"/>
    <w:rsid w:val="00631325"/>
    <w:rsid w:val="00643DB2"/>
    <w:rsid w:val="00645CC6"/>
    <w:rsid w:val="00660C12"/>
    <w:rsid w:val="006673B1"/>
    <w:rsid w:val="006723ED"/>
    <w:rsid w:val="00672F47"/>
    <w:rsid w:val="00682D4C"/>
    <w:rsid w:val="006831A7"/>
    <w:rsid w:val="006A0C2D"/>
    <w:rsid w:val="006B371E"/>
    <w:rsid w:val="006B4CCC"/>
    <w:rsid w:val="006B5C0C"/>
    <w:rsid w:val="006B73AD"/>
    <w:rsid w:val="006E104F"/>
    <w:rsid w:val="006E2102"/>
    <w:rsid w:val="006E4B4B"/>
    <w:rsid w:val="006F5683"/>
    <w:rsid w:val="006F5780"/>
    <w:rsid w:val="00723A82"/>
    <w:rsid w:val="0073465D"/>
    <w:rsid w:val="007375D1"/>
    <w:rsid w:val="0074046D"/>
    <w:rsid w:val="007434DD"/>
    <w:rsid w:val="00754F42"/>
    <w:rsid w:val="00757CF6"/>
    <w:rsid w:val="00773017"/>
    <w:rsid w:val="007750B1"/>
    <w:rsid w:val="00777425"/>
    <w:rsid w:val="00792C6A"/>
    <w:rsid w:val="0079318F"/>
    <w:rsid w:val="007B65C3"/>
    <w:rsid w:val="007B7A13"/>
    <w:rsid w:val="007D0BD8"/>
    <w:rsid w:val="007E474D"/>
    <w:rsid w:val="007E7F2A"/>
    <w:rsid w:val="007F411B"/>
    <w:rsid w:val="008021E3"/>
    <w:rsid w:val="00822720"/>
    <w:rsid w:val="00822838"/>
    <w:rsid w:val="00825F85"/>
    <w:rsid w:val="00826E57"/>
    <w:rsid w:val="00831685"/>
    <w:rsid w:val="0084474D"/>
    <w:rsid w:val="008528D4"/>
    <w:rsid w:val="00854995"/>
    <w:rsid w:val="00870304"/>
    <w:rsid w:val="00876BA4"/>
    <w:rsid w:val="00885B0F"/>
    <w:rsid w:val="00890A76"/>
    <w:rsid w:val="008A05D6"/>
    <w:rsid w:val="008B72E8"/>
    <w:rsid w:val="008C1AF0"/>
    <w:rsid w:val="008F324E"/>
    <w:rsid w:val="008F536F"/>
    <w:rsid w:val="009126A9"/>
    <w:rsid w:val="00913CFD"/>
    <w:rsid w:val="00914528"/>
    <w:rsid w:val="00933BE8"/>
    <w:rsid w:val="00945C94"/>
    <w:rsid w:val="0095638D"/>
    <w:rsid w:val="00960EA8"/>
    <w:rsid w:val="0096159E"/>
    <w:rsid w:val="00961894"/>
    <w:rsid w:val="00965B2C"/>
    <w:rsid w:val="00966F69"/>
    <w:rsid w:val="00992C1B"/>
    <w:rsid w:val="00992E8D"/>
    <w:rsid w:val="0099390B"/>
    <w:rsid w:val="009B5689"/>
    <w:rsid w:val="009B5B6C"/>
    <w:rsid w:val="009C041E"/>
    <w:rsid w:val="009C2DAC"/>
    <w:rsid w:val="009D139B"/>
    <w:rsid w:val="009E69D8"/>
    <w:rsid w:val="009F5E22"/>
    <w:rsid w:val="00A00007"/>
    <w:rsid w:val="00A14B99"/>
    <w:rsid w:val="00A307E2"/>
    <w:rsid w:val="00A35011"/>
    <w:rsid w:val="00A37922"/>
    <w:rsid w:val="00A41B1C"/>
    <w:rsid w:val="00A64419"/>
    <w:rsid w:val="00A65A6B"/>
    <w:rsid w:val="00AA2D52"/>
    <w:rsid w:val="00AB49BC"/>
    <w:rsid w:val="00AD234E"/>
    <w:rsid w:val="00AD7C0C"/>
    <w:rsid w:val="00AE2B47"/>
    <w:rsid w:val="00AE449E"/>
    <w:rsid w:val="00AF24E2"/>
    <w:rsid w:val="00B014B0"/>
    <w:rsid w:val="00B17B20"/>
    <w:rsid w:val="00B265BD"/>
    <w:rsid w:val="00B32BA2"/>
    <w:rsid w:val="00B3489E"/>
    <w:rsid w:val="00B429C9"/>
    <w:rsid w:val="00B623B8"/>
    <w:rsid w:val="00B71DD2"/>
    <w:rsid w:val="00B751CB"/>
    <w:rsid w:val="00B8574E"/>
    <w:rsid w:val="00B87457"/>
    <w:rsid w:val="00B93245"/>
    <w:rsid w:val="00BB42A2"/>
    <w:rsid w:val="00BB73D3"/>
    <w:rsid w:val="00BC1D9D"/>
    <w:rsid w:val="00BE438D"/>
    <w:rsid w:val="00BE5633"/>
    <w:rsid w:val="00BF22F3"/>
    <w:rsid w:val="00BF6477"/>
    <w:rsid w:val="00C05F7E"/>
    <w:rsid w:val="00C22E33"/>
    <w:rsid w:val="00C364B6"/>
    <w:rsid w:val="00C520F3"/>
    <w:rsid w:val="00C65DAF"/>
    <w:rsid w:val="00C67C13"/>
    <w:rsid w:val="00C811C9"/>
    <w:rsid w:val="00C92D24"/>
    <w:rsid w:val="00CD126D"/>
    <w:rsid w:val="00CD5661"/>
    <w:rsid w:val="00CE605D"/>
    <w:rsid w:val="00CE6D56"/>
    <w:rsid w:val="00CE7FDA"/>
    <w:rsid w:val="00CF2DA7"/>
    <w:rsid w:val="00CF5297"/>
    <w:rsid w:val="00CF6E4D"/>
    <w:rsid w:val="00D026D9"/>
    <w:rsid w:val="00D14020"/>
    <w:rsid w:val="00D358E2"/>
    <w:rsid w:val="00D37BED"/>
    <w:rsid w:val="00D4510B"/>
    <w:rsid w:val="00D4695E"/>
    <w:rsid w:val="00D7288D"/>
    <w:rsid w:val="00DC70FD"/>
    <w:rsid w:val="00DF2DA6"/>
    <w:rsid w:val="00E01258"/>
    <w:rsid w:val="00E04EC6"/>
    <w:rsid w:val="00E17548"/>
    <w:rsid w:val="00E81F86"/>
    <w:rsid w:val="00E86642"/>
    <w:rsid w:val="00E939D3"/>
    <w:rsid w:val="00EB0742"/>
    <w:rsid w:val="00EB48DF"/>
    <w:rsid w:val="00EC33AC"/>
    <w:rsid w:val="00ED5006"/>
    <w:rsid w:val="00F00026"/>
    <w:rsid w:val="00F0033D"/>
    <w:rsid w:val="00F0130D"/>
    <w:rsid w:val="00F13EAC"/>
    <w:rsid w:val="00F20177"/>
    <w:rsid w:val="00F20B47"/>
    <w:rsid w:val="00F509E6"/>
    <w:rsid w:val="00F648FE"/>
    <w:rsid w:val="00F672B5"/>
    <w:rsid w:val="00F76F97"/>
    <w:rsid w:val="00F900A4"/>
    <w:rsid w:val="00F94592"/>
    <w:rsid w:val="00F96851"/>
    <w:rsid w:val="00FA3DF0"/>
    <w:rsid w:val="00FB130B"/>
    <w:rsid w:val="00FB51A3"/>
    <w:rsid w:val="00FC056C"/>
    <w:rsid w:val="00FC2C8E"/>
    <w:rsid w:val="00FD2325"/>
    <w:rsid w:val="00FD7293"/>
    <w:rsid w:val="00FE2688"/>
    <w:rsid w:val="00FE79CF"/>
    <w:rsid w:val="00FF3E1E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jc w:val="both"/>
      <w:outlineLvl w:val="0"/>
    </w:pPr>
    <w:rPr>
      <w:b/>
      <w:caps/>
      <w:kern w:val="28"/>
      <w:szCs w:val="20"/>
    </w:rPr>
  </w:style>
  <w:style w:type="paragraph" w:styleId="Heading2">
    <w:name w:val="heading 2"/>
    <w:basedOn w:val="Normal"/>
    <w:next w:val="Normal"/>
    <w:qFormat/>
    <w:pPr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le">
    <w:name w:val="table"/>
    <w:basedOn w:val="Normal"/>
    <w:pPr>
      <w:spacing w:line="240" w:lineRule="atLeast"/>
    </w:pPr>
    <w:rPr>
      <w:sz w:val="20"/>
      <w:szCs w:val="20"/>
    </w:rPr>
  </w:style>
  <w:style w:type="paragraph" w:customStyle="1" w:styleId="References">
    <w:name w:val="References"/>
    <w:basedOn w:val="Normal"/>
    <w:pPr>
      <w:ind w:left="284" w:hanging="284"/>
    </w:pPr>
    <w:rPr>
      <w:szCs w:val="20"/>
    </w:rPr>
  </w:style>
  <w:style w:type="paragraph" w:customStyle="1" w:styleId="Authors">
    <w:name w:val="Authors"/>
    <w:basedOn w:val="Normal"/>
    <w:pPr>
      <w:jc w:val="center"/>
    </w:pPr>
    <w:rPr>
      <w:sz w:val="28"/>
    </w:rPr>
  </w:style>
  <w:style w:type="paragraph" w:customStyle="1" w:styleId="Title1">
    <w:name w:val="Title1"/>
    <w:basedOn w:val="Normal"/>
    <w:pPr>
      <w:jc w:val="center"/>
    </w:pPr>
    <w:rPr>
      <w:b/>
      <w:bCs/>
      <w:sz w:val="32"/>
    </w:rPr>
  </w:style>
  <w:style w:type="paragraph" w:customStyle="1" w:styleId="Text">
    <w:name w:val="Text"/>
    <w:basedOn w:val="Normal"/>
    <w:pPr>
      <w:ind w:firstLine="284"/>
      <w:jc w:val="both"/>
    </w:pPr>
  </w:style>
  <w:style w:type="paragraph" w:customStyle="1" w:styleId="FigureTablescaptions">
    <w:name w:val="Figure&amp;Tables captions"/>
    <w:basedOn w:val="Normal"/>
    <w:pPr>
      <w:ind w:left="720" w:hanging="720"/>
      <w:jc w:val="both"/>
    </w:pPr>
    <w:rPr>
      <w:b/>
      <w:sz w:val="22"/>
    </w:rPr>
  </w:style>
  <w:style w:type="character" w:styleId="FollowedHyperlink">
    <w:name w:val="FollowedHyperlink"/>
    <w:uiPriority w:val="99"/>
    <w:semiHidden/>
    <w:unhideWhenUsed/>
    <w:rsid w:val="00EC33A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F5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7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5780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7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5780"/>
    <w:rPr>
      <w:b/>
      <w:bCs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5780"/>
    <w:rPr>
      <w:rFonts w:ascii="Segoe UI" w:hAnsi="Segoe UI" w:cs="Segoe UI"/>
      <w:noProof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D695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953"/>
    <w:rPr>
      <w:noProof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D695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953"/>
    <w:rPr>
      <w:noProof/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80A8E"/>
  </w:style>
  <w:style w:type="paragraph" w:customStyle="1" w:styleId="EndNoteBibliography">
    <w:name w:val="EndNote Bibliography"/>
    <w:basedOn w:val="Normal"/>
    <w:link w:val="EndNoteBibliographyChar"/>
    <w:rsid w:val="00480A8E"/>
    <w:pPr>
      <w:spacing w:after="200"/>
    </w:pPr>
    <w:rPr>
      <w:sz w:val="22"/>
      <w:szCs w:val="22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480A8E"/>
    <w:rPr>
      <w:rFonts w:eastAsiaTheme="minorEastAsia"/>
      <w:noProof/>
      <w:sz w:val="22"/>
      <w:szCs w:val="22"/>
      <w:lang w:eastAsia="zh-CN"/>
    </w:rPr>
  </w:style>
  <w:style w:type="paragraph" w:styleId="Revision">
    <w:name w:val="Revision"/>
    <w:hidden/>
    <w:uiPriority w:val="71"/>
    <w:rsid w:val="00C92D24"/>
    <w:rPr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jc w:val="both"/>
      <w:outlineLvl w:val="0"/>
    </w:pPr>
    <w:rPr>
      <w:b/>
      <w:caps/>
      <w:kern w:val="28"/>
      <w:szCs w:val="20"/>
    </w:rPr>
  </w:style>
  <w:style w:type="paragraph" w:styleId="Heading2">
    <w:name w:val="heading 2"/>
    <w:basedOn w:val="Normal"/>
    <w:next w:val="Normal"/>
    <w:qFormat/>
    <w:pPr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le">
    <w:name w:val="table"/>
    <w:basedOn w:val="Normal"/>
    <w:pPr>
      <w:spacing w:line="240" w:lineRule="atLeast"/>
    </w:pPr>
    <w:rPr>
      <w:sz w:val="20"/>
      <w:szCs w:val="20"/>
    </w:rPr>
  </w:style>
  <w:style w:type="paragraph" w:customStyle="1" w:styleId="References">
    <w:name w:val="References"/>
    <w:basedOn w:val="Normal"/>
    <w:pPr>
      <w:ind w:left="284" w:hanging="284"/>
    </w:pPr>
    <w:rPr>
      <w:szCs w:val="20"/>
    </w:rPr>
  </w:style>
  <w:style w:type="paragraph" w:customStyle="1" w:styleId="Authors">
    <w:name w:val="Authors"/>
    <w:basedOn w:val="Normal"/>
    <w:pPr>
      <w:jc w:val="center"/>
    </w:pPr>
    <w:rPr>
      <w:sz w:val="28"/>
    </w:rPr>
  </w:style>
  <w:style w:type="paragraph" w:customStyle="1" w:styleId="Title1">
    <w:name w:val="Title1"/>
    <w:basedOn w:val="Normal"/>
    <w:pPr>
      <w:jc w:val="center"/>
    </w:pPr>
    <w:rPr>
      <w:b/>
      <w:bCs/>
      <w:sz w:val="32"/>
    </w:rPr>
  </w:style>
  <w:style w:type="paragraph" w:customStyle="1" w:styleId="Text">
    <w:name w:val="Text"/>
    <w:basedOn w:val="Normal"/>
    <w:pPr>
      <w:ind w:firstLine="284"/>
      <w:jc w:val="both"/>
    </w:pPr>
  </w:style>
  <w:style w:type="paragraph" w:customStyle="1" w:styleId="FigureTablescaptions">
    <w:name w:val="Figure&amp;Tables captions"/>
    <w:basedOn w:val="Normal"/>
    <w:pPr>
      <w:ind w:left="720" w:hanging="720"/>
      <w:jc w:val="both"/>
    </w:pPr>
    <w:rPr>
      <w:b/>
      <w:sz w:val="22"/>
    </w:rPr>
  </w:style>
  <w:style w:type="character" w:styleId="FollowedHyperlink">
    <w:name w:val="FollowedHyperlink"/>
    <w:uiPriority w:val="99"/>
    <w:semiHidden/>
    <w:unhideWhenUsed/>
    <w:rsid w:val="00EC33A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F5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7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5780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7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5780"/>
    <w:rPr>
      <w:b/>
      <w:bCs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5780"/>
    <w:rPr>
      <w:rFonts w:ascii="Segoe UI" w:hAnsi="Segoe UI" w:cs="Segoe UI"/>
      <w:noProof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D695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953"/>
    <w:rPr>
      <w:noProof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D695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953"/>
    <w:rPr>
      <w:noProof/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80A8E"/>
  </w:style>
  <w:style w:type="paragraph" w:customStyle="1" w:styleId="EndNoteBibliography">
    <w:name w:val="EndNote Bibliography"/>
    <w:basedOn w:val="Normal"/>
    <w:link w:val="EndNoteBibliographyChar"/>
    <w:rsid w:val="00480A8E"/>
    <w:pPr>
      <w:spacing w:after="200"/>
    </w:pPr>
    <w:rPr>
      <w:sz w:val="22"/>
      <w:szCs w:val="22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480A8E"/>
    <w:rPr>
      <w:rFonts w:eastAsiaTheme="minorEastAsia"/>
      <w:noProof/>
      <w:sz w:val="22"/>
      <w:szCs w:val="22"/>
      <w:lang w:eastAsia="zh-CN"/>
    </w:rPr>
  </w:style>
  <w:style w:type="paragraph" w:styleId="Revision">
    <w:name w:val="Revision"/>
    <w:hidden/>
    <w:uiPriority w:val="71"/>
    <w:rsid w:val="00C92D24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feng.cong@agro.au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"/><Relationship Id="rId4" Type="http://schemas.openxmlformats.org/officeDocument/2006/relationships/settings" Target="settings.xml"/><Relationship Id="rId9" Type="http://schemas.openxmlformats.org/officeDocument/2006/relationships/hyperlink" Target="mailto:jorgen.eriksen@agro.a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827</Words>
  <Characters>4831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Title of the Article</vt:lpstr>
      <vt:lpstr>Title of the Article</vt:lpstr>
      <vt:lpstr>Title of the Article</vt:lpstr>
    </vt:vector>
  </TitlesOfParts>
  <Company>CSIRO</Company>
  <LinksUpToDate>false</LinksUpToDate>
  <CharactersWithSpaces>5647</CharactersWithSpaces>
  <SharedDoc>false</SharedDoc>
  <HLinks>
    <vt:vector size="6" baseType="variant">
      <vt:variant>
        <vt:i4>1572988</vt:i4>
      </vt:variant>
      <vt:variant>
        <vt:i4>0</vt:i4>
      </vt:variant>
      <vt:variant>
        <vt:i4>0</vt:i4>
      </vt:variant>
      <vt:variant>
        <vt:i4>5</vt:i4>
      </vt:variant>
      <vt:variant>
        <vt:lpwstr>mailto:xx@yy.zz.co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Article</dc:title>
  <dc:creator>lom010</dc:creator>
  <cp:lastModifiedBy>Wenfeng Cong</cp:lastModifiedBy>
  <cp:revision>11</cp:revision>
  <cp:lastPrinted>2017-02-28T19:57:00Z</cp:lastPrinted>
  <dcterms:created xsi:type="dcterms:W3CDTF">2017-02-28T12:24:00Z</dcterms:created>
  <dcterms:modified xsi:type="dcterms:W3CDTF">2017-02-28T19:58:00Z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